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6209B" w:rsidRDefault="0096209B" w:rsidP="006E4870">
      <w:pPr>
        <w:pStyle w:val="Title"/>
        <w:rPr>
          <w:sz w:val="24"/>
        </w:rPr>
      </w:pPr>
    </w:p>
    <w:p w:rsidR="0096209B" w:rsidRDefault="0096209B" w:rsidP="006E4870">
      <w:pPr>
        <w:pStyle w:val="Title"/>
        <w:rPr>
          <w:sz w:val="24"/>
        </w:rPr>
      </w:pPr>
    </w:p>
    <w:p w:rsidR="00B60C67" w:rsidRDefault="00B60C67" w:rsidP="006E4870">
      <w:pPr>
        <w:pStyle w:val="Title"/>
        <w:rPr>
          <w:sz w:val="24"/>
        </w:rPr>
      </w:pPr>
      <w:r>
        <w:rPr>
          <w:sz w:val="24"/>
        </w:rPr>
        <w:t>EASTERN OPHTHALMIC PATHOLOGY SOCIETY</w:t>
      </w:r>
    </w:p>
    <w:p w:rsidR="00B60C67" w:rsidRDefault="00B60C67" w:rsidP="006E4870">
      <w:pPr>
        <w:jc w:val="center"/>
        <w:rPr>
          <w:sz w:val="24"/>
        </w:rPr>
      </w:pPr>
      <w:r>
        <w:rPr>
          <w:sz w:val="24"/>
        </w:rPr>
        <w:t>Washington DC</w:t>
      </w:r>
    </w:p>
    <w:p w:rsidR="00B60C67" w:rsidRDefault="00B60C67" w:rsidP="006E4870">
      <w:pPr>
        <w:jc w:val="center"/>
        <w:rPr>
          <w:sz w:val="24"/>
        </w:rPr>
      </w:pPr>
      <w:r>
        <w:rPr>
          <w:sz w:val="24"/>
        </w:rPr>
        <w:t>September 13-15, 2018</w:t>
      </w:r>
    </w:p>
    <w:p w:rsidR="00B60C67" w:rsidRDefault="00B60C67" w:rsidP="00B60C67">
      <w:pPr>
        <w:jc w:val="both"/>
        <w:rPr>
          <w:sz w:val="24"/>
        </w:rPr>
      </w:pPr>
    </w:p>
    <w:p w:rsidR="00B60C67" w:rsidRPr="00571264" w:rsidRDefault="00B60C67" w:rsidP="00B60C67">
      <w:pPr>
        <w:rPr>
          <w:sz w:val="20"/>
          <w:szCs w:val="20"/>
        </w:rPr>
      </w:pPr>
      <w:r w:rsidRPr="00571264">
        <w:rPr>
          <w:sz w:val="20"/>
          <w:szCs w:val="20"/>
        </w:rPr>
        <w:t>1- Dr. Hind M Alkatan</w:t>
      </w:r>
    </w:p>
    <w:p w:rsidR="00B60C67" w:rsidRDefault="00B60C67" w:rsidP="00B60C67">
      <w:pPr>
        <w:rPr>
          <w:sz w:val="20"/>
          <w:szCs w:val="20"/>
        </w:rPr>
      </w:pPr>
      <w:r w:rsidRPr="00571264">
        <w:rPr>
          <w:sz w:val="20"/>
          <w:szCs w:val="20"/>
        </w:rPr>
        <w:t xml:space="preserve">Assistant Professor, Director of KSU Residency </w:t>
      </w:r>
      <w:r>
        <w:rPr>
          <w:sz w:val="20"/>
          <w:szCs w:val="20"/>
        </w:rPr>
        <w:t xml:space="preserve">&amp; Fellowship </w:t>
      </w:r>
      <w:r w:rsidRPr="00571264">
        <w:rPr>
          <w:sz w:val="20"/>
          <w:szCs w:val="20"/>
        </w:rPr>
        <w:t>Training Program</w:t>
      </w:r>
      <w:r>
        <w:rPr>
          <w:sz w:val="20"/>
          <w:szCs w:val="20"/>
        </w:rPr>
        <w:t>s</w:t>
      </w:r>
      <w:r w:rsidRPr="00571264">
        <w:rPr>
          <w:sz w:val="20"/>
          <w:szCs w:val="20"/>
        </w:rPr>
        <w:t xml:space="preserve"> in Ophthalmology</w:t>
      </w:r>
    </w:p>
    <w:p w:rsidR="00B60C67" w:rsidRPr="00571264" w:rsidRDefault="00B60C67" w:rsidP="00B60C67">
      <w:pPr>
        <w:rPr>
          <w:sz w:val="20"/>
          <w:szCs w:val="20"/>
        </w:rPr>
      </w:pPr>
      <w:r>
        <w:rPr>
          <w:sz w:val="20"/>
          <w:szCs w:val="20"/>
        </w:rPr>
        <w:t>Associate Director-External Accreditation Unit, Post-Graduate Medical Education Department.</w:t>
      </w:r>
    </w:p>
    <w:p w:rsidR="00B60C67" w:rsidRPr="00571264" w:rsidRDefault="00B60C67" w:rsidP="00B60C67">
      <w:pPr>
        <w:rPr>
          <w:sz w:val="20"/>
          <w:szCs w:val="20"/>
        </w:rPr>
      </w:pPr>
      <w:r w:rsidRPr="00571264">
        <w:rPr>
          <w:sz w:val="20"/>
          <w:szCs w:val="20"/>
        </w:rPr>
        <w:t>Consultant, Departments of Ophthalmology &amp; Pathology,</w:t>
      </w:r>
    </w:p>
    <w:p w:rsidR="00B60C67" w:rsidRPr="00571264" w:rsidRDefault="00B60C67" w:rsidP="00B60C67">
      <w:pPr>
        <w:rPr>
          <w:sz w:val="20"/>
          <w:szCs w:val="20"/>
        </w:rPr>
      </w:pPr>
      <w:r w:rsidRPr="00571264">
        <w:rPr>
          <w:sz w:val="20"/>
          <w:szCs w:val="20"/>
        </w:rPr>
        <w:t>College of Medicine, King Saud University Medical City.</w:t>
      </w:r>
    </w:p>
    <w:p w:rsidR="00B60C67" w:rsidRPr="00571264" w:rsidRDefault="00B60C67" w:rsidP="00B60C67">
      <w:pPr>
        <w:rPr>
          <w:sz w:val="20"/>
          <w:szCs w:val="20"/>
        </w:rPr>
      </w:pPr>
      <w:r w:rsidRPr="00571264">
        <w:rPr>
          <w:sz w:val="20"/>
          <w:szCs w:val="20"/>
        </w:rPr>
        <w:t>Tel. No: +966 504492399</w:t>
      </w:r>
    </w:p>
    <w:p w:rsidR="006B38F3" w:rsidRDefault="00B60C67" w:rsidP="00B60C67">
      <w:pPr>
        <w:rPr>
          <w:rStyle w:val="Hyperlink"/>
          <w:sz w:val="20"/>
          <w:szCs w:val="20"/>
        </w:rPr>
      </w:pPr>
      <w:r w:rsidRPr="00571264">
        <w:rPr>
          <w:sz w:val="20"/>
          <w:szCs w:val="20"/>
        </w:rPr>
        <w:t xml:space="preserve">Email: </w:t>
      </w:r>
      <w:hyperlink r:id="rId4" w:history="1">
        <w:r w:rsidRPr="00571264">
          <w:rPr>
            <w:rStyle w:val="Hyperlink"/>
            <w:sz w:val="20"/>
            <w:szCs w:val="20"/>
          </w:rPr>
          <w:t>hindkatan@yahoo.com</w:t>
        </w:r>
      </w:hyperlink>
      <w:r w:rsidRPr="00571264">
        <w:rPr>
          <w:sz w:val="20"/>
          <w:szCs w:val="20"/>
        </w:rPr>
        <w:t xml:space="preserve">; </w:t>
      </w:r>
      <w:hyperlink r:id="rId5" w:history="1">
        <w:r w:rsidRPr="00571264">
          <w:rPr>
            <w:rStyle w:val="Hyperlink"/>
            <w:sz w:val="20"/>
            <w:szCs w:val="20"/>
          </w:rPr>
          <w:t>hkatan@ksu.edu.sa</w:t>
        </w:r>
      </w:hyperlink>
    </w:p>
    <w:p w:rsidR="00B60C67" w:rsidRDefault="00B60C67" w:rsidP="00B60C67">
      <w:pPr>
        <w:rPr>
          <w:sz w:val="20"/>
          <w:szCs w:val="20"/>
        </w:rPr>
      </w:pPr>
      <w:r>
        <w:rPr>
          <w:sz w:val="20"/>
          <w:szCs w:val="20"/>
        </w:rPr>
        <w:t>2</w:t>
      </w:r>
      <w:r>
        <w:rPr>
          <w:sz w:val="20"/>
          <w:szCs w:val="20"/>
        </w:rPr>
        <w:t xml:space="preserve">- </w:t>
      </w:r>
      <w:r>
        <w:rPr>
          <w:sz w:val="20"/>
          <w:szCs w:val="20"/>
        </w:rPr>
        <w:t>Prof</w:t>
      </w:r>
      <w:r w:rsidRPr="000B46DA">
        <w:rPr>
          <w:sz w:val="20"/>
          <w:szCs w:val="20"/>
        </w:rPr>
        <w:t>. Yasser H. Al-Faky</w:t>
      </w:r>
    </w:p>
    <w:p w:rsidR="00B60C67" w:rsidRDefault="00B60C67" w:rsidP="00B60C67">
      <w:pPr>
        <w:rPr>
          <w:sz w:val="20"/>
          <w:szCs w:val="20"/>
        </w:rPr>
      </w:pPr>
      <w:r>
        <w:rPr>
          <w:sz w:val="20"/>
          <w:szCs w:val="20"/>
        </w:rPr>
        <w:t xml:space="preserve">3- Prof Ammar </w:t>
      </w:r>
      <w:proofErr w:type="spellStart"/>
      <w:r>
        <w:rPr>
          <w:sz w:val="20"/>
          <w:szCs w:val="20"/>
        </w:rPr>
        <w:t>Alrikabi</w:t>
      </w:r>
      <w:proofErr w:type="spellEnd"/>
    </w:p>
    <w:p w:rsidR="00B60C67" w:rsidRDefault="00B60C67" w:rsidP="00B60C67">
      <w:pPr>
        <w:rPr>
          <w:sz w:val="20"/>
          <w:szCs w:val="20"/>
        </w:rPr>
      </w:pPr>
      <w:r>
        <w:rPr>
          <w:sz w:val="20"/>
          <w:szCs w:val="20"/>
        </w:rPr>
        <w:t xml:space="preserve">4- Dr. Saleh </w:t>
      </w:r>
      <w:proofErr w:type="spellStart"/>
      <w:r>
        <w:rPr>
          <w:sz w:val="20"/>
          <w:szCs w:val="20"/>
        </w:rPr>
        <w:t>Alrashed</w:t>
      </w:r>
      <w:proofErr w:type="spellEnd"/>
    </w:p>
    <w:p w:rsidR="00B60C67" w:rsidRDefault="00B60C67" w:rsidP="00B60C67">
      <w:pPr>
        <w:rPr>
          <w:sz w:val="20"/>
          <w:szCs w:val="20"/>
        </w:rPr>
      </w:pPr>
    </w:p>
    <w:p w:rsidR="00B60C67" w:rsidRPr="006E4870" w:rsidRDefault="00B60C67" w:rsidP="006E4870">
      <w:pPr>
        <w:spacing w:line="276" w:lineRule="auto"/>
        <w:jc w:val="center"/>
        <w:rPr>
          <w:rFonts w:asciiTheme="majorBidi" w:hAnsiTheme="majorBidi" w:cstheme="majorBidi"/>
          <w:b/>
          <w:bCs/>
          <w:sz w:val="24"/>
        </w:rPr>
      </w:pPr>
      <w:r w:rsidRPr="006E4870">
        <w:rPr>
          <w:rFonts w:asciiTheme="majorBidi" w:hAnsiTheme="majorBidi" w:cstheme="majorBidi"/>
          <w:b/>
          <w:bCs/>
          <w:sz w:val="24"/>
        </w:rPr>
        <w:t>Youngest case report of orbital T- cell lymphoma with literature review: Early diagnosis, management and successful outcome.</w:t>
      </w:r>
    </w:p>
    <w:p w:rsidR="00B60C67" w:rsidRDefault="00B60C67" w:rsidP="00B60C67"/>
    <w:p w:rsidR="00B60C67" w:rsidRPr="00A367C2" w:rsidRDefault="00B60C67" w:rsidP="00B60C67">
      <w:pPr>
        <w:spacing w:line="276" w:lineRule="auto"/>
        <w:rPr>
          <w:b/>
          <w:bCs/>
          <w:color w:val="000000"/>
          <w:sz w:val="28"/>
          <w:szCs w:val="28"/>
          <w:u w:val="single"/>
        </w:rPr>
      </w:pPr>
      <w:r>
        <w:rPr>
          <w:b/>
          <w:bCs/>
          <w:color w:val="000000"/>
          <w:sz w:val="28"/>
          <w:szCs w:val="28"/>
          <w:u w:val="single"/>
        </w:rPr>
        <w:t>The Case</w:t>
      </w:r>
      <w:r w:rsidRPr="00A367C2">
        <w:rPr>
          <w:b/>
          <w:bCs/>
          <w:color w:val="000000"/>
          <w:sz w:val="28"/>
          <w:szCs w:val="28"/>
          <w:u w:val="single"/>
        </w:rPr>
        <w:t xml:space="preserve">: </w:t>
      </w:r>
    </w:p>
    <w:p w:rsidR="00B60C67" w:rsidRDefault="00B60C67" w:rsidP="00B60C67">
      <w:pPr>
        <w:spacing w:line="276" w:lineRule="auto"/>
      </w:pPr>
      <w:r w:rsidRPr="00B60C67">
        <w:rPr>
          <w:b/>
        </w:rPr>
        <w:t>History:</w:t>
      </w:r>
      <w:r>
        <w:t xml:space="preserve"> </w:t>
      </w:r>
      <w:bookmarkStart w:id="0" w:name="_GoBack"/>
      <w:bookmarkEnd w:id="0"/>
    </w:p>
    <w:p w:rsidR="00B60C67" w:rsidRDefault="00B60C67" w:rsidP="00B60C67">
      <w:pPr>
        <w:spacing w:line="276" w:lineRule="auto"/>
        <w:ind w:firstLine="0"/>
      </w:pPr>
      <w:r w:rsidRPr="00343887">
        <w:t xml:space="preserve">A 3-year-old </w:t>
      </w:r>
      <w:r w:rsidRPr="005A2866">
        <w:t>S</w:t>
      </w:r>
      <w:r w:rsidRPr="00C47A14">
        <w:t xml:space="preserve">yrian male child </w:t>
      </w:r>
      <w:r>
        <w:t>with</w:t>
      </w:r>
      <w:r w:rsidRPr="00FC69C2">
        <w:t xml:space="preserve"> gradual prog</w:t>
      </w:r>
      <w:r w:rsidRPr="000F2101">
        <w:t xml:space="preserve">ressive painless swelling of the left lower eyelid and </w:t>
      </w:r>
      <w:r>
        <w:t xml:space="preserve">     </w:t>
      </w:r>
      <w:r w:rsidRPr="000F2101">
        <w:t xml:space="preserve">ptosis </w:t>
      </w:r>
      <w:r>
        <w:t xml:space="preserve">of the upper eyelid </w:t>
      </w:r>
      <w:r w:rsidRPr="000F2101">
        <w:t>over the course of 2 months that significantly increased over the last 2 weeks.</w:t>
      </w:r>
    </w:p>
    <w:p w:rsidR="00B60C67" w:rsidRDefault="00B60C67" w:rsidP="00B60C67">
      <w:pPr>
        <w:ind w:firstLine="0"/>
      </w:pPr>
      <w:r>
        <w:t>M</w:t>
      </w:r>
      <w:r w:rsidRPr="00C47A14">
        <w:t>edical</w:t>
      </w:r>
      <w:r>
        <w:t xml:space="preserve">ly, the </w:t>
      </w:r>
      <w:r w:rsidRPr="00C47A14">
        <w:t>parents recall</w:t>
      </w:r>
      <w:r>
        <w:t>ed</w:t>
      </w:r>
      <w:r w:rsidRPr="00343887">
        <w:t xml:space="preserve"> </w:t>
      </w:r>
      <w:r w:rsidRPr="00C47A14">
        <w:t>loss of appetite o</w:t>
      </w:r>
      <w:r>
        <w:t>f one-</w:t>
      </w:r>
      <w:r w:rsidRPr="00C47A14">
        <w:t xml:space="preserve">week </w:t>
      </w:r>
      <w:r>
        <w:t>duration</w:t>
      </w:r>
      <w:r>
        <w:t>.</w:t>
      </w:r>
    </w:p>
    <w:p w:rsidR="00B60C67" w:rsidRDefault="00B60C67" w:rsidP="00B60C67">
      <w:pPr>
        <w:ind w:firstLine="0"/>
      </w:pPr>
      <w:r>
        <w:t>He had un</w:t>
      </w:r>
      <w:r w:rsidRPr="00343887">
        <w:t xml:space="preserve">remarkable family history. </w:t>
      </w:r>
    </w:p>
    <w:p w:rsidR="00B60C67" w:rsidRDefault="00B60C67" w:rsidP="00B60C67">
      <w:r w:rsidRPr="00B60C67">
        <w:rPr>
          <w:b/>
        </w:rPr>
        <w:t>Ophthalmological examination</w:t>
      </w:r>
      <w:r>
        <w:rPr>
          <w:b/>
        </w:rPr>
        <w:t>:</w:t>
      </w:r>
      <w:r w:rsidRPr="00C47A14">
        <w:t xml:space="preserve"> </w:t>
      </w:r>
    </w:p>
    <w:p w:rsidR="00B60C67" w:rsidRDefault="00B60C67" w:rsidP="00B60C67">
      <w:pPr>
        <w:ind w:firstLine="0"/>
      </w:pPr>
      <w:r>
        <w:t>L</w:t>
      </w:r>
      <w:r w:rsidRPr="00C47A14">
        <w:t xml:space="preserve">eft orbital dystopia, </w:t>
      </w:r>
      <w:proofErr w:type="spellStart"/>
      <w:r w:rsidRPr="00FC69C2">
        <w:t>super</w:t>
      </w:r>
      <w:r w:rsidRPr="000F2101">
        <w:t>o</w:t>
      </w:r>
      <w:r>
        <w:t>-</w:t>
      </w:r>
      <w:r w:rsidRPr="00343887">
        <w:t>rmedial</w:t>
      </w:r>
      <w:proofErr w:type="spellEnd"/>
      <w:r w:rsidRPr="00343887">
        <w:t xml:space="preserve"> displacement</w:t>
      </w:r>
      <w:r w:rsidRPr="005A2866">
        <w:t xml:space="preserve"> of the </w:t>
      </w:r>
      <w:r>
        <w:t xml:space="preserve">left </w:t>
      </w:r>
      <w:r w:rsidRPr="005A2866">
        <w:t>globe</w:t>
      </w:r>
      <w:r>
        <w:t>,</w:t>
      </w:r>
      <w:r>
        <w:t xml:space="preserve"> limited </w:t>
      </w:r>
      <w:r>
        <w:t xml:space="preserve">EOM </w:t>
      </w:r>
      <w:r>
        <w:t>in up</w:t>
      </w:r>
      <w:r>
        <w:t>-</w:t>
      </w:r>
      <w:r>
        <w:t>gaze</w:t>
      </w:r>
      <w:r w:rsidRPr="00224FEB">
        <w:t xml:space="preserve"> of the</w:t>
      </w:r>
      <w:r w:rsidRPr="00FC69C2">
        <w:t xml:space="preserve"> left</w:t>
      </w:r>
      <w:r w:rsidRPr="000F2101">
        <w:t xml:space="preserve"> eye</w:t>
      </w:r>
      <w:r>
        <w:t>, and p</w:t>
      </w:r>
      <w:r w:rsidRPr="00C47A14">
        <w:t>seudo</w:t>
      </w:r>
      <w:r>
        <w:t>-</w:t>
      </w:r>
      <w:r w:rsidRPr="00343887">
        <w:t>ptosis</w:t>
      </w:r>
      <w:r w:rsidRPr="00B60C67">
        <w:t xml:space="preserve"> </w:t>
      </w:r>
      <w:r>
        <w:t>of t</w:t>
      </w:r>
      <w:r w:rsidRPr="000F2101">
        <w:t xml:space="preserve">he </w:t>
      </w:r>
      <w:r>
        <w:t>left upper lid</w:t>
      </w:r>
      <w:r>
        <w:t xml:space="preserve">. </w:t>
      </w:r>
    </w:p>
    <w:p w:rsidR="00B60C67" w:rsidRDefault="00B60C67" w:rsidP="00B60C67">
      <w:pPr>
        <w:ind w:firstLine="0"/>
      </w:pPr>
      <w:r>
        <w:t>P</w:t>
      </w:r>
      <w:r w:rsidRPr="00343887">
        <w:t>alpebral fissure measurement</w:t>
      </w:r>
      <w:r>
        <w:t xml:space="preserve">s: left eye 5 mm/ </w:t>
      </w:r>
      <w:r>
        <w:t xml:space="preserve">right eye </w:t>
      </w:r>
      <w:r w:rsidRPr="00343887">
        <w:t>9 mm.</w:t>
      </w:r>
    </w:p>
    <w:p w:rsidR="00B60C67" w:rsidRPr="00FC69C2" w:rsidRDefault="00B60C67" w:rsidP="00B60C67">
      <w:pPr>
        <w:ind w:firstLine="0"/>
      </w:pPr>
      <w:r w:rsidRPr="00343887">
        <w:t>F</w:t>
      </w:r>
      <w:r w:rsidRPr="005A2866">
        <w:t>urther examination of the left</w:t>
      </w:r>
      <w:r>
        <w:t xml:space="preserve"> orbit</w:t>
      </w:r>
      <w:r w:rsidRPr="00C47A14">
        <w:t xml:space="preserve"> revealed a hard lesion involving the inferior orbital rim and the lateral aspect </w:t>
      </w:r>
      <w:r>
        <w:t xml:space="preserve">of the orbital cavity, </w:t>
      </w:r>
      <w:r w:rsidRPr="00343887">
        <w:t>measur</w:t>
      </w:r>
      <w:r>
        <w:t>ing 2</w:t>
      </w:r>
      <w:r w:rsidRPr="00343887">
        <w:t xml:space="preserve"> cm horizontally by 1.5 cm vertically.</w:t>
      </w:r>
      <w:r w:rsidRPr="005A2866">
        <w:t xml:space="preserve"> </w:t>
      </w:r>
      <w:r w:rsidRPr="00C47A14">
        <w:t>There was no proptosis, overlying skin changes or pa</w:t>
      </w:r>
      <w:r w:rsidRPr="00EB0B9E">
        <w:t xml:space="preserve">lpable lymphadenopathy. </w:t>
      </w:r>
      <w:r w:rsidRPr="00224FEB">
        <w:t xml:space="preserve"> </w:t>
      </w:r>
    </w:p>
    <w:p w:rsidR="00B60C67" w:rsidRDefault="00B60C67" w:rsidP="00B60C67">
      <w:pPr>
        <w:ind w:firstLine="0"/>
      </w:pPr>
      <w:r w:rsidRPr="00343887">
        <w:t xml:space="preserve">An Incisional biopsy under </w:t>
      </w:r>
      <w:r>
        <w:t>general a</w:t>
      </w:r>
      <w:r w:rsidRPr="00343887">
        <w:t xml:space="preserve">nesthesia was performed and a 2.1 x 1.5 x 1.0 cm tissue was </w:t>
      </w:r>
      <w:r w:rsidRPr="006F00AF">
        <w:t xml:space="preserve">obtained. </w:t>
      </w:r>
      <w:r>
        <w:t>The patient’s clinical appearance improved after the biopsy.</w:t>
      </w:r>
    </w:p>
    <w:p w:rsidR="00B60C67" w:rsidRDefault="00B60C67" w:rsidP="00B60C67">
      <w:pPr>
        <w:ind w:firstLine="0"/>
      </w:pPr>
    </w:p>
    <w:p w:rsidR="00B60C67" w:rsidRDefault="00B60C67" w:rsidP="00B60C67">
      <w:pPr>
        <w:ind w:firstLine="0"/>
      </w:pPr>
      <w:r w:rsidRPr="00343887">
        <w:t xml:space="preserve"> </w:t>
      </w:r>
    </w:p>
    <w:p w:rsidR="00B60C67" w:rsidRDefault="00B60C67" w:rsidP="00B60C67">
      <w:pPr>
        <w:ind w:firstLine="0"/>
      </w:pPr>
      <w:r>
        <w:rPr>
          <w:noProof/>
        </w:rPr>
        <w:drawing>
          <wp:inline distT="0" distB="0" distL="0" distR="0">
            <wp:extent cx="2916428" cy="1628503"/>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 cell Lymphoma Preop 1.jpg"/>
                    <pic:cNvPicPr/>
                  </pic:nvPicPr>
                  <pic:blipFill>
                    <a:blip r:embed="rId6" cstate="print">
                      <a:extLst>
                        <a:ext uri="{28A0092B-C50C-407E-A947-70E740481C1C}">
                          <a14:useLocalDpi xmlns:a14="http://schemas.microsoft.com/office/drawing/2010/main"/>
                        </a:ext>
                      </a:extLst>
                    </a:blip>
                    <a:stretch>
                      <a:fillRect/>
                    </a:stretch>
                  </pic:blipFill>
                  <pic:spPr>
                    <a:xfrm>
                      <a:off x="0" y="0"/>
                      <a:ext cx="2949316" cy="1646867"/>
                    </a:xfrm>
                    <a:prstGeom prst="rect">
                      <a:avLst/>
                    </a:prstGeom>
                  </pic:spPr>
                </pic:pic>
              </a:graphicData>
            </a:graphic>
          </wp:inline>
        </w:drawing>
      </w:r>
      <w:r>
        <w:rPr>
          <w:noProof/>
        </w:rPr>
        <w:drawing>
          <wp:inline distT="0" distB="0" distL="0" distR="0">
            <wp:extent cx="2933800" cy="16256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 cell Lymphoma Postop 1.jpg"/>
                    <pic:cNvPicPr/>
                  </pic:nvPicPr>
                  <pic:blipFill>
                    <a:blip r:embed="rId7" cstate="print">
                      <a:extLst>
                        <a:ext uri="{28A0092B-C50C-407E-A947-70E740481C1C}">
                          <a14:useLocalDpi xmlns:a14="http://schemas.microsoft.com/office/drawing/2010/main"/>
                        </a:ext>
                      </a:extLst>
                    </a:blip>
                    <a:stretch>
                      <a:fillRect/>
                    </a:stretch>
                  </pic:blipFill>
                  <pic:spPr>
                    <a:xfrm>
                      <a:off x="0" y="0"/>
                      <a:ext cx="2960915" cy="1640715"/>
                    </a:xfrm>
                    <a:prstGeom prst="rect">
                      <a:avLst/>
                    </a:prstGeom>
                  </pic:spPr>
                </pic:pic>
              </a:graphicData>
            </a:graphic>
          </wp:inline>
        </w:drawing>
      </w:r>
    </w:p>
    <w:p w:rsidR="00B60C67" w:rsidRDefault="00B60C67" w:rsidP="00B60C67">
      <w:pPr>
        <w:ind w:firstLine="0"/>
        <w:rPr>
          <w:i/>
          <w:u w:val="single"/>
        </w:rPr>
      </w:pPr>
      <w:r w:rsidRPr="00B60C67">
        <w:rPr>
          <w:i/>
          <w:u w:val="single"/>
        </w:rPr>
        <w:t>Pre-Op</w:t>
      </w:r>
      <w:r>
        <w:rPr>
          <w:i/>
          <w:u w:val="single"/>
        </w:rPr>
        <w:t>.</w:t>
      </w:r>
      <w:r w:rsidRPr="006E4870">
        <w:rPr>
          <w:i/>
        </w:rPr>
        <w:t xml:space="preserve">                                                                      </w:t>
      </w:r>
      <w:r>
        <w:rPr>
          <w:i/>
          <w:u w:val="single"/>
        </w:rPr>
        <w:t xml:space="preserve"> Post</w:t>
      </w:r>
      <w:r w:rsidR="006E4870">
        <w:rPr>
          <w:i/>
          <w:u w:val="single"/>
        </w:rPr>
        <w:t>-op.</w:t>
      </w:r>
    </w:p>
    <w:p w:rsidR="006E4870" w:rsidRDefault="006E4870" w:rsidP="00B60C67">
      <w:pPr>
        <w:ind w:firstLine="0"/>
        <w:rPr>
          <w:i/>
          <w:u w:val="single"/>
        </w:rPr>
      </w:pPr>
    </w:p>
    <w:p w:rsidR="006E4870" w:rsidRDefault="006E4870" w:rsidP="006E4870">
      <w:r w:rsidRPr="00343887">
        <w:t xml:space="preserve">Magnetic </w:t>
      </w:r>
      <w:r>
        <w:t>R</w:t>
      </w:r>
      <w:r w:rsidRPr="00343887">
        <w:t>esonance</w:t>
      </w:r>
      <w:r>
        <w:t xml:space="preserve"> Imaging (MRI)</w:t>
      </w:r>
      <w:r w:rsidRPr="00343887">
        <w:t xml:space="preserve"> of the orbits showed a solid enhancing mass lesion, </w:t>
      </w:r>
      <w:r w:rsidRPr="006F00AF">
        <w:t>involving the lateral and inferior walls of the left orbit</w:t>
      </w:r>
      <w:r w:rsidRPr="00343887">
        <w:t>, extending into the intraconal compartment</w:t>
      </w:r>
      <w:r>
        <w:t>, and</w:t>
      </w:r>
      <w:r w:rsidRPr="00343887">
        <w:t xml:space="preserve"> displacing the globe superiorly and medially </w:t>
      </w:r>
      <w:r>
        <w:t xml:space="preserve">with medial </w:t>
      </w:r>
      <w:r w:rsidRPr="00343887">
        <w:t>displac</w:t>
      </w:r>
      <w:r>
        <w:t>ement of</w:t>
      </w:r>
      <w:r w:rsidRPr="00343887">
        <w:t xml:space="preserve"> the </w:t>
      </w:r>
      <w:r>
        <w:t xml:space="preserve">left </w:t>
      </w:r>
      <w:r w:rsidRPr="00343887">
        <w:t>inferior rectus muscle</w:t>
      </w:r>
      <w:r>
        <w:t xml:space="preserve">. </w:t>
      </w:r>
    </w:p>
    <w:p w:rsidR="006E4870" w:rsidRDefault="006E4870" w:rsidP="006E4870">
      <w:pPr>
        <w:rPr>
          <w:noProof/>
        </w:rPr>
      </w:pPr>
      <w:r>
        <w:rPr>
          <w:noProof/>
        </w:rPr>
        <w:lastRenderedPageBreak/>
        <w:drawing>
          <wp:inline distT="0" distB="0" distL="0" distR="0">
            <wp:extent cx="2360023" cy="2360023"/>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FORE BIOPSY COR_T2W.jpg"/>
                    <pic:cNvPicPr/>
                  </pic:nvPicPr>
                  <pic:blipFill>
                    <a:blip r:embed="rId8">
                      <a:extLst>
                        <a:ext uri="{28A0092B-C50C-407E-A947-70E740481C1C}">
                          <a14:useLocalDpi xmlns:a14="http://schemas.microsoft.com/office/drawing/2010/main"/>
                        </a:ext>
                      </a:extLst>
                    </a:blip>
                    <a:stretch>
                      <a:fillRect/>
                    </a:stretch>
                  </pic:blipFill>
                  <pic:spPr>
                    <a:xfrm>
                      <a:off x="0" y="0"/>
                      <a:ext cx="2391658" cy="2391658"/>
                    </a:xfrm>
                    <a:prstGeom prst="rect">
                      <a:avLst/>
                    </a:prstGeom>
                  </pic:spPr>
                </pic:pic>
              </a:graphicData>
            </a:graphic>
          </wp:inline>
        </w:drawing>
      </w:r>
      <w:r>
        <w:rPr>
          <w:noProof/>
        </w:rPr>
        <w:drawing>
          <wp:inline distT="0" distB="0" distL="0" distR="0">
            <wp:extent cx="2360023" cy="2360023"/>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FORE BIOPSY TRA_T2W.jpg"/>
                    <pic:cNvPicPr/>
                  </pic:nvPicPr>
                  <pic:blipFill>
                    <a:blip r:embed="rId9">
                      <a:extLst>
                        <a:ext uri="{28A0092B-C50C-407E-A947-70E740481C1C}">
                          <a14:useLocalDpi xmlns:a14="http://schemas.microsoft.com/office/drawing/2010/main"/>
                        </a:ext>
                      </a:extLst>
                    </a:blip>
                    <a:stretch>
                      <a:fillRect/>
                    </a:stretch>
                  </pic:blipFill>
                  <pic:spPr>
                    <a:xfrm>
                      <a:off x="0" y="0"/>
                      <a:ext cx="2385689" cy="2385689"/>
                    </a:xfrm>
                    <a:prstGeom prst="rect">
                      <a:avLst/>
                    </a:prstGeom>
                  </pic:spPr>
                </pic:pic>
              </a:graphicData>
            </a:graphic>
          </wp:inline>
        </w:drawing>
      </w:r>
    </w:p>
    <w:p w:rsidR="006E4870" w:rsidRDefault="006E4870" w:rsidP="006E4870">
      <w:pPr>
        <w:textAlignment w:val="baseline"/>
        <w:rPr>
          <w:b/>
        </w:rPr>
      </w:pPr>
    </w:p>
    <w:p w:rsidR="006E4870" w:rsidRDefault="006E4870" w:rsidP="006E4870">
      <w:pPr>
        <w:textAlignment w:val="baseline"/>
        <w:rPr>
          <w:bCs/>
        </w:rPr>
      </w:pPr>
      <w:r w:rsidRPr="006E4870">
        <w:rPr>
          <w:b/>
        </w:rPr>
        <w:t>H</w:t>
      </w:r>
      <w:r w:rsidRPr="006E4870">
        <w:rPr>
          <w:b/>
          <w:bCs/>
        </w:rPr>
        <w:t>istopathology:</w:t>
      </w:r>
      <w:r w:rsidRPr="006E4870">
        <w:rPr>
          <w:b/>
          <w:bCs/>
        </w:rPr>
        <w:t xml:space="preserve"> </w:t>
      </w:r>
    </w:p>
    <w:p w:rsidR="006E4870" w:rsidRDefault="006E4870" w:rsidP="006E4870">
      <w:pPr>
        <w:ind w:firstLine="0"/>
        <w:textAlignment w:val="baseline"/>
        <w:rPr>
          <w:bCs/>
        </w:rPr>
      </w:pPr>
      <w:r>
        <w:rPr>
          <w:color w:val="000000"/>
          <w:shd w:val="clear" w:color="auto" w:fill="FFFFFF"/>
        </w:rPr>
        <w:t>D</w:t>
      </w:r>
      <w:r w:rsidRPr="006F00AF">
        <w:rPr>
          <w:color w:val="000000"/>
          <w:shd w:val="clear" w:color="auto" w:fill="FFFFFF"/>
        </w:rPr>
        <w:t>iffuse effacement atypical cells of variable size</w:t>
      </w:r>
      <w:r>
        <w:rPr>
          <w:color w:val="000000"/>
          <w:shd w:val="clear" w:color="auto" w:fill="FFFFFF"/>
        </w:rPr>
        <w:t xml:space="preserve"> infiltrating the bone</w:t>
      </w:r>
      <w:r w:rsidRPr="00A367C2">
        <w:rPr>
          <w:color w:val="000000"/>
          <w:shd w:val="clear" w:color="auto" w:fill="FFFFFF"/>
        </w:rPr>
        <w:t xml:space="preserve"> </w:t>
      </w:r>
      <w:r>
        <w:rPr>
          <w:color w:val="000000"/>
          <w:shd w:val="clear" w:color="auto" w:fill="FFFFFF"/>
        </w:rPr>
        <w:t xml:space="preserve">(Figure 2A). The proliferating </w:t>
      </w:r>
      <w:r w:rsidRPr="006F00AF">
        <w:rPr>
          <w:color w:val="000000"/>
        </w:rPr>
        <w:t>c</w:t>
      </w:r>
      <w:r w:rsidRPr="00A367C2">
        <w:rPr>
          <w:color w:val="000000"/>
        </w:rPr>
        <w:t>ells ofte</w:t>
      </w:r>
      <w:r w:rsidRPr="006F00AF">
        <w:rPr>
          <w:color w:val="000000"/>
        </w:rPr>
        <w:t>n have clear cytoplasm, resembling</w:t>
      </w:r>
      <w:r>
        <w:rPr>
          <w:color w:val="000000"/>
        </w:rPr>
        <w:t xml:space="preserve"> Reed-Sternberg cells</w:t>
      </w:r>
      <w:r>
        <w:rPr>
          <w:color w:val="000000"/>
        </w:rPr>
        <w:t xml:space="preserve">. </w:t>
      </w:r>
      <w:r w:rsidRPr="00A367C2">
        <w:rPr>
          <w:color w:val="000000"/>
        </w:rPr>
        <w:t>Many mitotic figures</w:t>
      </w:r>
      <w:r>
        <w:rPr>
          <w:color w:val="000000"/>
        </w:rPr>
        <w:t xml:space="preserve"> were seen</w:t>
      </w:r>
      <w:r>
        <w:rPr>
          <w:color w:val="000000"/>
        </w:rPr>
        <w:t>,</w:t>
      </w:r>
      <w:r>
        <w:rPr>
          <w:color w:val="000000"/>
        </w:rPr>
        <w:t xml:space="preserve"> </w:t>
      </w:r>
      <w:r w:rsidRPr="00A367C2">
        <w:rPr>
          <w:bCs/>
        </w:rPr>
        <w:t>consistent with non-Hodgkin’s lymphoma</w:t>
      </w:r>
      <w:r>
        <w:rPr>
          <w:bCs/>
        </w:rPr>
        <w:t xml:space="preserve"> </w:t>
      </w:r>
      <w:r>
        <w:rPr>
          <w:color w:val="000000"/>
        </w:rPr>
        <w:t>(Figure 2B).</w:t>
      </w:r>
      <w:r w:rsidRPr="00A367C2">
        <w:rPr>
          <w:bCs/>
        </w:rPr>
        <w:t xml:space="preserve"> </w:t>
      </w:r>
    </w:p>
    <w:p w:rsidR="006E4870" w:rsidRDefault="006E4870" w:rsidP="006E4870">
      <w:pPr>
        <w:ind w:firstLine="0"/>
        <w:textAlignment w:val="baseline"/>
      </w:pPr>
      <w:r>
        <w:t>IHC</w:t>
      </w:r>
      <w:r>
        <w:t xml:space="preserve"> </w:t>
      </w:r>
      <w:r w:rsidRPr="006F00AF">
        <w:t xml:space="preserve">stains showed that the tumor cells </w:t>
      </w:r>
      <w:r>
        <w:t>we</w:t>
      </w:r>
      <w:r w:rsidRPr="006F00AF">
        <w:t xml:space="preserve">re </w:t>
      </w:r>
      <w:r>
        <w:t>expressing T-</w:t>
      </w:r>
      <w:r w:rsidRPr="006F00AF">
        <w:t>cell markers including CD3, CD4, CD8, and CD43</w:t>
      </w:r>
      <w:r>
        <w:t xml:space="preserve"> </w:t>
      </w:r>
      <w:r>
        <w:t xml:space="preserve">(Figures 2C, D, E &amp; F). </w:t>
      </w:r>
      <w:r w:rsidRPr="006F00AF">
        <w:t>Stains for B-cell mark</w:t>
      </w:r>
      <w:r>
        <w:t>ers CD20, CD21, CD30, CD56 and Gran</w:t>
      </w:r>
      <w:r w:rsidRPr="006F00AF">
        <w:t xml:space="preserve">zyme B </w:t>
      </w:r>
      <w:r>
        <w:t xml:space="preserve">(as a marker for natural killer cells) </w:t>
      </w:r>
      <w:r w:rsidRPr="006F00AF">
        <w:t xml:space="preserve">were </w:t>
      </w:r>
      <w:r>
        <w:t xml:space="preserve">all </w:t>
      </w:r>
      <w:r w:rsidRPr="006F00AF">
        <w:t>negative. Stain</w:t>
      </w:r>
      <w:r>
        <w:t xml:space="preserve"> for Terminal deoxynucleotidyl Transferase (</w:t>
      </w:r>
      <w:proofErr w:type="spellStart"/>
      <w:r>
        <w:t>TdT</w:t>
      </w:r>
      <w:proofErr w:type="spellEnd"/>
      <w:r>
        <w:t xml:space="preserve">) as a marker for non-Hodgkin’s lymphoblastic lymphoma </w:t>
      </w:r>
      <w:r w:rsidRPr="006F00AF">
        <w:t xml:space="preserve">was </w:t>
      </w:r>
      <w:r>
        <w:t xml:space="preserve">also </w:t>
      </w:r>
      <w:r w:rsidRPr="006F00AF">
        <w:t xml:space="preserve">negative. </w:t>
      </w:r>
    </w:p>
    <w:p w:rsidR="006E4870" w:rsidRDefault="006E4870" w:rsidP="006E4870">
      <w:pPr>
        <w:ind w:firstLine="0"/>
        <w:textAlignment w:val="baseline"/>
      </w:pPr>
      <w:r w:rsidRPr="006F00AF">
        <w:t xml:space="preserve">DNA from the biopsy was extracted and qualitative PCR was done and showed T-cell receptor (TCR Beta and TCR Gamma) gene rearrangement, confirming the diagnosis of PTCL-NOS. </w:t>
      </w:r>
    </w:p>
    <w:p w:rsidR="006E4870" w:rsidRDefault="006E4870" w:rsidP="006E4870">
      <w:pPr>
        <w:ind w:firstLine="0"/>
        <w:textAlignment w:val="baseline"/>
      </w:pPr>
    </w:p>
    <w:p w:rsidR="006E4870" w:rsidRDefault="006E4870" w:rsidP="006E4870">
      <w:pPr>
        <w:ind w:firstLine="0"/>
        <w:textAlignment w:val="baseline"/>
      </w:pPr>
      <w:r>
        <w:rPr>
          <w:noProof/>
        </w:rPr>
        <w:drawing>
          <wp:inline distT="0" distB="0" distL="0" distR="0">
            <wp:extent cx="5943600" cy="29775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2 Revised .png"/>
                    <pic:cNvPicPr/>
                  </pic:nvPicPr>
                  <pic:blipFill>
                    <a:blip r:embed="rId10" cstate="print">
                      <a:extLst>
                        <a:ext uri="{28A0092B-C50C-407E-A947-70E740481C1C}">
                          <a14:useLocalDpi xmlns:a14="http://schemas.microsoft.com/office/drawing/2010/main"/>
                        </a:ext>
                      </a:extLst>
                    </a:blip>
                    <a:stretch>
                      <a:fillRect/>
                    </a:stretch>
                  </pic:blipFill>
                  <pic:spPr>
                    <a:xfrm>
                      <a:off x="0" y="0"/>
                      <a:ext cx="5943600" cy="2977515"/>
                    </a:xfrm>
                    <a:prstGeom prst="rect">
                      <a:avLst/>
                    </a:prstGeom>
                  </pic:spPr>
                </pic:pic>
              </a:graphicData>
            </a:graphic>
          </wp:inline>
        </w:drawing>
      </w:r>
    </w:p>
    <w:p w:rsidR="006E4870" w:rsidRDefault="006E4870" w:rsidP="0096209B">
      <w:pPr>
        <w:ind w:firstLine="0"/>
      </w:pPr>
    </w:p>
    <w:p w:rsidR="006E4870" w:rsidRPr="00AE2006" w:rsidRDefault="006E4870" w:rsidP="0096209B">
      <w:pPr>
        <w:rPr>
          <w:b/>
          <w:bCs/>
          <w:sz w:val="28"/>
          <w:szCs w:val="28"/>
          <w:u w:val="single"/>
        </w:rPr>
      </w:pPr>
      <w:r w:rsidRPr="00AE2006">
        <w:rPr>
          <w:b/>
          <w:bCs/>
          <w:sz w:val="28"/>
          <w:szCs w:val="28"/>
          <w:u w:val="single"/>
        </w:rPr>
        <w:t xml:space="preserve">Discussion: </w:t>
      </w:r>
    </w:p>
    <w:p w:rsidR="006E4870" w:rsidRDefault="006E4870" w:rsidP="006E4870">
      <w:pPr>
        <w:rPr>
          <w:b/>
          <w:bCs/>
        </w:rPr>
      </w:pPr>
      <w:r w:rsidRPr="00BC6FFD">
        <w:t>Orbital and ocular adnexal lymphoid neoplasms are not scarce, representing 6% to 8% of all orbital tumors</w:t>
      </w:r>
      <w:r>
        <w:t xml:space="preserve">, whereas out of the </w:t>
      </w:r>
      <w:r w:rsidRPr="001C3A8C">
        <w:t xml:space="preserve">extra-nodal </w:t>
      </w:r>
      <w:r>
        <w:t>Non-Hodgkin’s lymphoma</w:t>
      </w:r>
      <w:r w:rsidRPr="003900F1">
        <w:t xml:space="preserve"> </w:t>
      </w:r>
      <w:r>
        <w:t>p</w:t>
      </w:r>
      <w:r w:rsidRPr="001C3A8C">
        <w:t xml:space="preserve">rimary </w:t>
      </w:r>
      <w:r>
        <w:t>Non-Hodgkin’s lymphoma of the orbit represented</w:t>
      </w:r>
      <w:r w:rsidRPr="001C3A8C">
        <w:t xml:space="preserve"> 8–10%</w:t>
      </w:r>
      <w:r>
        <w:t xml:space="preserve">. </w:t>
      </w:r>
      <w:r>
        <w:rPr>
          <w:vertAlign w:val="superscript"/>
        </w:rPr>
        <w:t xml:space="preserve">7, </w:t>
      </w:r>
      <w:r>
        <w:fldChar w:fldCharType="begin" w:fldLock="1"/>
      </w:r>
      <w:r>
        <w:instrText>ADDIN CSL_CITATION { "citationItems" : [ { "id" : "ITEM-1", "itemData" : { "DOI" : "10.1016/j.ophtha.2003.01.002", "ISSN" : "0161-6420", "PMID" : "15121380", "abstract" : "OBJECTIVE To determine the incidence of specific orbital tumors based on patients referred to an ocular oncology center. DESIGN Retrospective, observational case series. PARTICIPANTS A total of 1264 consecutive patients referred to an ocular oncology service because of space-occupying orbital lesions. METHODS A retrospective chart review was carried out for 1264 consecutive patients referred for a suspected orbital mass over a 30-year period. The lesions were grouped into general categories, as shown in \"Results.\" The specific diagnosis in each case was based on clinical findings, computed tomography scan results, magnetic resonance imaging results, and histopathologic analysis results, when available. The number and percentage of benign and malignant tumors per age group also was determined. MAIN OUTCOME MEASURES The incidence of orbital tumors and pseudotumors. RESULTS Among 1264 consecutive patients, the number and percentage of lesions in each general category were as follows: cystic, 70 cases (6%); vasculogenic, 213 cases (17%); peripheral nerve lesions, 23 (2%); optic nerve and meningeal tumors, 105 (8%); fibrocytic lesions, 13 (1%); osseous and fibro-osseous tumors, 21 (2%); cartilaginous lesions, 1 (&lt;1%); lipocytic and myxoid lesions, 64 (5%); myogenic tumors, 36 (3%); lacrimal gland lesions, 114 (9%); primary melanocytic lesions, 11 (&lt;1%); metastatic tumors, 91 (7%); lymphoma and leukemia lesions, 130 (10%); secondary orbital tumors, 142 (11%); histiocytic lesions, 17 (1%); thyroid-related orbitopathy, 67 cases (5%); other inflammatory lesions, 133 cases (11%); and miscellaneous other lesions, 13 (1%). The most common diagnoses were: lymphoid tumor (139 cases;11%), idiopathic orbital inflammation (135 cases; 11%), cavernous hemangioma (77 cases; 6%), lymphangioma (54 cases; 4%), meningioma (53 cases; 4%), optic nerve glioma (48 cases; 4%), metastatic breast cancer (44 cases;4%), orbital extension of uveal melanoma (41 cases; 3%), capillary hemangioma (36 cases;3%), rhabdomyosarcoma (35 cases; 3%), dermolipoma (31 cases; 3%), herniated orbital fat (30 cases; 2%), dermoid cyst (26 cases; 2%), varix (26 cases; 2%), dacryops (19 cases; 2%), and other less common lesions. Of the 1264 lesions, 810 (64%) were benign and 454 (36%) were malignant. The percentage of malignant lesions was 20% in children (age range, 0-18 years), 27% in young adults and middle-aged patients (age range, 19-59 years), and 58% in older patents (age range, 60-92 years). Rhabdo\u2026", "author" : [ { "dropping-particle" : "", "family" : "Shields", "given" : "Jerry A", "non-dropping-particle" : "", "parse-names" : false, "suffix" : "" }, { "dropping-particle" : "", "family" : "Shields", "given" : "Carol L", "non-dropping-particle" : "", "parse-names" : false, "suffix" : "" }, { "dropping-particle" : "", "family" : "Scartozzi", "given" : "Richard", "non-dropping-particle" : "", "parse-names" : false, "suffix" : "" }, { "dropping-particle" : "", "family" : "Shields", "given" : "J.A", "non-dropping-particle" : "", "parse-names" : false, "suffix" : "" }, { "dropping-particle" : "", "family" : "Shields", "given" : "J.A", "non-dropping-particle" : "", "parse-names" : false, "suffix" : "" }, { "dropping-particle" : "", "family" : "Shields", "given" : "C.L", "non-dropping-particle" : "", "parse-names" : false, "suffix" : "" }, { "dropping-particle" : "", "family" : "Forrest", "given" : "A.W", "non-dropping-particle" : "", "parse-names" : false, "suffix" : "" }, { "dropping-particle" : "", "family" : "Iliff", "given" : "C.E", "non-dropping-particle" : "", "parse-names" : false, "suffix" : "" }, { "dropping-particle" : "", "family" : "Porterfield", "given" : "J.F", "non-dropping-particle" : "", "parse-names" : false, "suffix" : "" }, { "dropping-particle" : "", "family" : "Moss", "given" : "H.M", "non-dropping-particle" : "", "parse-names" : false, "suffix" : "" }, { "dropping-particle" : "", "family" : "MacCarty", "given" : "C.S", "non-dropping-particle" : "", "parse-names" : false, "suffix" : "" }, { "dropping-particle" : "", "family" : "Brown", "given" : "D.N", "non-dropping-particle" : "", "parse-names" : false, "suffix" : "" }, { "dropping-particle" : "", "family" : "Silva", "given" : "D", "non-dropping-particle" : "", "parse-names" : false, "suffix" : "" }, { "dropping-particle" : "", "family" : "Youssefi", "given" : "B", "non-dropping-particle" : "", "parse-names" : false, "suffix" : "" }, { "dropping-particle" : "", "family" : "Templeton", "given" : "A.C", "non-dropping-particle" : "", "parse-names" : false, "suffix" : "" }, { "dropping-particle" : "", "family" : "Reese", "given" : "A.B", "non-dropping-particle" : "", "parse-names" : false, "suffix" : "" }, { "dropping-particle" : "", "family" : "Templeton", "given" : "A.C", "non-dropping-particle" : "", "parse-names" : false, "suffix" : "" }, { "dropping-particle" : "", "family" : "Weerekoon", "given" : "L", "non-dropping-particle" : "", "parse-names" : false, "suffix" : "" }, { "dropping-particle" : "", "family" : "Eldrup-Jorgensen", "given" : "P", "non-dropping-particle" : "", "parse-names" : false, "suffix" : "" }, { "dropping-particle" : "", "family" : "Fledelius", "given" : "H", "non-dropping-particle" : "", "parse-names" : false, "suffix" : "" }, { "dropping-particle" : "", "family" : "Majekodunmi", "given" : "S", "non-dropping-particle" : "", "parse-names" : false, "suffix" : "" }, { "dropping-particle" : "", "family" : "Liaricos", "given" : "S", "non-dropping-particle" : "", "parse-names" : false, "suffix" : "" }, { "dropping-particle" : "", "family" : "Gekas", "given" : "L", "non-dropping-particle" : "", "parse-names" : false, "suffix" : "" }, { "dropping-particle" : "", "family" : "Kennedy", "given" : "R.E", "non-dropping-particle" : "", "parse-names" : false, "suffix" : "" }, { "dropping-particle" : "", "family" : "Shields", "given" : "J.A", "non-dropping-particle" : "", "parse-names" : false, "suffix" : "" }, { "dropping-particle" : "", "family" : "Bakewell", "given" : "B", "non-dropping-particle" : "", "parse-names" : false, "suffix" : "" }, { "dropping-particle" : "", "family" : "Augsburger", "given" : "J.J", "non-dropping-particle" : "", "parse-names" : false, "suffix" : "" }, { "dropping-particle" : "", "family" : "Flangan", "given" : "J.C", "non-dropping-particle" : "", "parse-names" : false, "suffix" : "" }, { "dropping-particle" : "", "family" : "Shields", "given" : "J.A", "non-dropping-particle" : "", "parse-names" : false, "suffix" : "" }, { "dropping-particle" : "", "family" : "Bakewell", "given" : "B", "non-dropping-particle" : "", "parse-names" : false, "suffix" : "" }, { "dropping-particle" : "", "family" : "Augsburger", "given" : "J.J", "non-dropping-particle" : "", "parse-names" : false, "suffix" : "" }, { "dropping-particle" : "", "family" : "al.", "given" : "et", "non-dropping-particle" : "", "parse-names" : false, "suffix" : "" }, { "dropping-particle" : "", "family" : "Moeloek", "given" : "N.F", "non-dropping-particle" : "", "parse-names" : false, "suffix" : "" }, { "dropping-particle" : "", "family" : "Maarif", "given" : "S", "non-dropping-particle" : "", "parse-names" : false, "suffix" : "" }, { "dropping-particle" : "", "family" : "Syukur", "given" : "B.A", "non-dropping-particle" : "", "parse-names" : false, "suffix" : "" }, { "dropping-particle" : "", "family" : "Priyanto", "given" : "R", "non-dropping-particle" : "", "parse-names" : false, "suffix" : "" }, { "dropping-particle" : "", "family" : "Rajamin", "given" : "R.K Tamin", "non-dropping-particle" : "", "parse-names" : false, "suffix" : "" }, { "dropping-particle" : "", "family" : "Bullock", "given" : "J.D", "non-dropping-particle" : "", "parse-names" : false, "suffix" : "" }, { "dropping-particle" : "", "family" : "Goldberg", "given" : "S.H", "non-dropping-particle" : "", "parse-names" : false, "suffix" : "" }, { "dropping-particle" : "", "family" : "Rakes", "given" : "S.M", "non-dropping-particle" : "", "parse-names" : false, "suffix" : "" }, { "dropping-particle" : "", "family" : "Munirulhaq", "given" : "K", "non-dropping-particle" : "", "parse-names" : false, "suffix" : "" }, { "dropping-particle" : "", "family" : "Johnson", "given" : "T.E", "non-dropping-particle" : "", "parse-names" : false, "suffix" : "" }, { "dropping-particle" : "", "family" : "Senft", "given" : "S.H", "non-dropping-particle" : "", "parse-names" : false, "suffix" : "" }, { "dropping-particle" : "", "family" : "Nasr", "given" : "A.M", "non-dropping-particle" : "", "parse-names" : false, "suffix" : "" }, { "dropping-particle" : "", "family" : "al.", "given" : "et", "non-dropping-particle" : "", "parse-names" : false, "suffix" : "" }, { "dropping-particle" : "", "family" : "Henderson", "given" : "J.W", "non-dropping-particle" : "", "parse-names" : false, "suffix" : "" }, { "dropping-particle" : "", "family" : "Campbell", "given" : "R.J", "non-dropping-particle" : "", "parse-names" : false, "suffix" : "" }, { "dropping-particle" : "", "family" : "Farrow", "given" : "G.M", "non-dropping-particle" : "", "parse-names" : false, "suffix" : "" }, { "dropping-particle" : "", "family" : "Garrity", "given" : "J.A", "non-dropping-particle" : "", "parse-names" : false, "suffix" : "" }, { "dropping-particle" : "", "family" : "Kodsi", "given" : "S.R", "non-dropping-particle" : "", "parse-names" : false, "suffix" : "" }, { "dropping-particle" : "", "family" : "Shetlar", "given" : "D.J", "non-dropping-particle" : "", "parse-names" : false, "suffix" : "" }, { "dropping-particle" : "", "family" : "Campbell", "given" : "R.J", "non-dropping-particle" : "", "parse-names" : false, "suffix" : "" }, { "dropping-particle" : "", "family" : "al.", "given" : "et", "non-dropping-particle" : "", "parse-names" : false, "suffix" : "" }, { "dropping-particle" : "", "family" : "Gunalp", "given" : "I", "non-dropping-particle" : "", "parse-names" : false, "suffix" : "" }, { "dropping-particle" : "", "family" : "Gunduz", "given" : "K", "non-dropping-particle" : "", "parse-names" : false, "suffix" : "" }, { "dropping-particle" : "", "family" : "Gunalp", "given" : "I", "non-dropping-particle" : "", "parse-names" : false, "suffix" : "" }, { "dropping-particle" : "", "family" : "Gunduz", "given" : "K", "non-dropping-particle" : "", "parse-names" : false, "suffix" : "" }, { "dropping-particle" : "", "family" : "Johansen", "given" : "S", "non-dropping-particle" : "", "parse-names" : false, "suffix" : "" }, { "dropping-particle" : "", "family" : "Heegaard", "given" : "S", "non-dropping-particle" : "", "parse-names" : false, "suffix" : "" }, { "dropping-particle" : "", "family" : "Bogeskov", "given" : "L", "non-dropping-particle" : "", "parse-names" : false, "suffix" : "" }, { "dropping-particle" : "", "family" : "Prause", "given" : "J.U", "non-dropping-particle" : "", "parse-names" : false, "suffix" : "" }, { "dropping-particle" : "", "family" : "Demirci", "given" : "H", "non-dropping-particle" : "", "parse-names" : false, "suffix" : "" }, { "dropping-particle" : "", "family" : "Shields", "given" : "C.L", "non-dropping-particle" : "", "parse-names" : false, "suffix" : "" }, { "dropping-particle" : "", "family" : "Shields", "given" : "J.A", "non-dropping-particle" : "", "parse-names" : false, "suffix" : "" }, { "dropping-particle" : "", "family" : "al.", "given" : "et", "non-dropping-particle" : "", "parse-names" : false, "suffix" : "" }, { "dropping-particle" : "", "family" : "Shields", "given" : "C.L", "non-dropping-particle" : "", "parse-names" : false, "suffix" : "" }, { "dropping-particle" : "", "family" : "Shields", "given" : "J.A", "non-dropping-particle" : "", "parse-names" : false, "suffix" : "" }, { "dropping-particle" : "", "family" : "Honavar", "given" : "S.G", "non-dropping-particle" : "", "parse-names" : false, "suffix" : "" }, { "dropping-particle" : "", "family" : "Demerci", "given" : "H", "non-dropping-particle" : "", "parse-names" : false, "suffix" : "" }, { "dropping-particle" : "", "family" : "Shields", "given" : "J.A", "non-dropping-particle" : "", "parse-names" : false, "suffix" : "" }, { "dropping-particle" : "", "family" : "Shields", "given" : "C.L", "non-dropping-particle" : "", "parse-names" : false, "suffix" : "" }, { "dropping-particle" : "", "family" : "Shields", "given" : "J.A", "non-dropping-particle" : "", "parse-names" : false, "suffix" : "" }, { "dropping-particle" : "", "family" : "Shields", "given" : "C.L", "non-dropping-particle" : "", "parse-names" : false, "suffix" : "" }, { "dropping-particle" : "", "family" : "Freire", "given" : "J.E", "non-dropping-particle" : "", "parse-names" : false, "suffix" : "" }, { "dropping-particle" : "", "family" : "al.", "given" : "et", "non-dropping-particle" : "", "parse-names" : false, "suffix" : "" }, { "dropping-particle" : "", "family" : "Shields", "given" : "J.A", "non-dropping-particle" : "", "parse-names" : false, "suffix" : "" }, { "dropping-particle" : "", "family" : "Shields", "given" : "C.L", "non-dropping-particle" : "", "parse-names" : false, "suffix" : "" }, { "dropping-particle" : "", "family" : "Shields", "given" : "J.A", "non-dropping-particle" : "", "parse-names" : false, "suffix" : "" }, { "dropping-particle" : "", "family" : "Shields", "given" : "C.L", "non-dropping-particle" : "", "parse-names" : false, "suffix" : "" }, { "dropping-particle" : "", "family" : "Brotman", "given" : "H.K", "non-dropping-particle" : "", "parse-names" : false, "suffix" : "" }, { "dropping-particle" : "", "family" : "al.", "given" : "et", "non-dropping-particle" : "", "parse-names" : false, "suffix" : "" }, { "dropping-particle" : "", "family" : "Shields", "given" : "J.A", "non-dropping-particle" : "", "parse-names" : false, "suffix" : "" }, { "dropping-particle" : "", "family" : "Shields", "given" : "C.L", "non-dropping-particle" : "", "parse-names" : false, "suffix" : "" } ], "container-title" : "Ophthalmology", "id" : "ITEM-1", "issue" : "5", "issued" : { "date-parts" : [ [ "2004", "5" ] ] }, "page" : "997-1008", "publisher" : "Elsevier", "title" : "Survey of 1264 patients with orbital tumors and simulating lesions: The 2002 Montgomery Lecture, part 1.", "type" : "article-journal", "volume" : "111" }, "uris" : [ "http://www.mendeley.com/documents/?uuid=786c595e-51ec-33ce-a4bd-1f91dc2a8be0" ] } ], "mendeley" : { "formattedCitation" : "&lt;sup&gt;8&lt;/sup&gt;", "plainTextFormattedCitation" : "8", "previouslyFormattedCitation" : "&lt;sup&gt;8&lt;/sup&gt;" }, "properties" : { "noteIndex" : 0 }, "schema" : "https://github.com/citation-style-language/schema/raw/master/csl-citation.json" }</w:instrText>
      </w:r>
      <w:r>
        <w:fldChar w:fldCharType="separate"/>
      </w:r>
      <w:r w:rsidRPr="00D10F98">
        <w:rPr>
          <w:noProof/>
          <w:vertAlign w:val="superscript"/>
        </w:rPr>
        <w:t>8</w:t>
      </w:r>
      <w:r>
        <w:fldChar w:fldCharType="end"/>
      </w:r>
      <w:r>
        <w:t xml:space="preserve"> </w:t>
      </w:r>
      <w:r w:rsidRPr="00BC6FFD">
        <w:t>On the basis of case series, the most reported orbital lymphoid tumor was B-cell non-Hodgkin malignant lymphoma</w:t>
      </w:r>
      <w:r>
        <w:t xml:space="preserve">. </w:t>
      </w:r>
      <w:r>
        <w:rPr>
          <w:vertAlign w:val="superscript"/>
        </w:rPr>
        <w:t xml:space="preserve">7, 9 </w:t>
      </w:r>
      <w:r w:rsidRPr="00BC6FFD">
        <w:t>In</w:t>
      </w:r>
      <w:r>
        <w:t xml:space="preserve"> 1998, C</w:t>
      </w:r>
      <w:r w:rsidRPr="00BC6FFD">
        <w:t>oupland</w:t>
      </w:r>
      <w:r>
        <w:t xml:space="preserve"> </w:t>
      </w:r>
      <w:r w:rsidRPr="00BC6FFD">
        <w:t>analy</w:t>
      </w:r>
      <w:r>
        <w:t xml:space="preserve">zed </w:t>
      </w:r>
      <w:r w:rsidRPr="00BC6FFD">
        <w:t>112 cases</w:t>
      </w:r>
      <w:r>
        <w:t xml:space="preserve"> of ocular adnexal lymphoproliferative disorder</w:t>
      </w:r>
      <w:r w:rsidRPr="00BC6FFD">
        <w:t xml:space="preserve">, T-cell lymphoma </w:t>
      </w:r>
      <w:r>
        <w:t xml:space="preserve">was encountered in only 3 cases. These cases were all </w:t>
      </w:r>
      <w:r w:rsidRPr="00BC6FFD">
        <w:t>systemic.</w:t>
      </w:r>
      <w:r>
        <w:t xml:space="preserve"> </w:t>
      </w:r>
      <w:r>
        <w:rPr>
          <w:vertAlign w:val="superscript"/>
        </w:rPr>
        <w:t xml:space="preserve">9 </w:t>
      </w:r>
      <w:r w:rsidRPr="00BC6FFD">
        <w:t xml:space="preserve">Peripheral T-cell </w:t>
      </w:r>
      <w:r w:rsidRPr="00BC6FFD">
        <w:t>lymphomas</w:t>
      </w:r>
      <w:r w:rsidRPr="00BC6FFD">
        <w:t xml:space="preserve"> </w:t>
      </w:r>
      <w:r>
        <w:t xml:space="preserve">in general are </w:t>
      </w:r>
      <w:r>
        <w:t>aggressive neoplasm</w:t>
      </w:r>
      <w:r>
        <w:t>s</w:t>
      </w:r>
      <w:r>
        <w:t xml:space="preserve"> with a poor outcome. Primary orbital PTCL-NOS </w:t>
      </w:r>
      <w:r w:rsidRPr="00BC6FFD">
        <w:t xml:space="preserve">of the </w:t>
      </w:r>
      <w:r>
        <w:t>orbit</w:t>
      </w:r>
      <w:r w:rsidRPr="00BC6FFD">
        <w:t xml:space="preserve"> has been rarely reported</w:t>
      </w:r>
      <w:r>
        <w:t xml:space="preserve"> with</w:t>
      </w:r>
      <w:r w:rsidRPr="00BC6FFD">
        <w:t xml:space="preserve">, </w:t>
      </w:r>
      <w:r>
        <w:t xml:space="preserve">to the best of our knowledge, only 6 cases being reported in the English-written literature including ours. </w:t>
      </w:r>
      <w:r>
        <w:fldChar w:fldCharType="begin" w:fldLock="1"/>
      </w:r>
      <w:r>
        <w:instrText>ADDIN CSL_CITATION { "citationItems" : [ { "id" : "ITEM-1", "itemData" : { "DOI" : "10.1016/S0161-6420(99)90492-X", "ISSN" : "0161-6420", "PMID" : "10571346", "abstract" : "OBJECTIVE Lymphomas of the eye and its adnexa are frequently of B lineage. This study aims to characterize the clinical and histopathologic features of the rare non-B-cell non-Hodgkin lymphomas (NHL) of these locations. DESIGN Retrospective, noncomparative case series. PARTICIPANTS Seven cases of T- and T/NK-cell lymphomas involving the ocular and ocular adnexal tissues. METHODS A morphologic, immunohistochemical, and molecular analysis (polymerase chain reaction) of each of the tumors was undertaken. The lesions were classified according to the Revised European-American Lymphoma (REAL) classification. The clinical and follow-up data were collected. RESULTS The patients included four women and three men ranging in age from 32 to 88 years (mean, 63 years). The presenting ophthalmic symptoms varied from a small nodule on the upper eyelid and conjunctival swellings to dramatic loss of vision associated with gross protrusion of the globe. Five of the cases presented were secondary manifestations of a systemic lymphoma in ocular tissues; two cases represented primary disease. Three cases were \"peripheral T-cell lymphomas (PTCL), unspecified\" with positivity for CD3, CD8, and betaF1 and negativity for CD56. Two cases were CD3+, CD30+, and CD56- and were classified as \"anaplastic large-cell lymphomas of T-cell type\" (T-ALCL). The remaining two cases showed an immunophenotype of CD3+, CD56+, and betaF1- and proved to contain Epstein-Barr virus (EBV) by in situ hybridization, consistent with \"T/natural killer (NK)-cell lymphoma of nasal type.\" Clonal T-cell populations were shown in all three of the PTCLs by Southern blot (n = 1) and polymerase chain reaction (n = 2) for the T-cell receptor gamma and beta genes in one case of ALCL but not in the T/NK-cell lymphomas. Five patients died within 2 years; only two patients (one primary PTCL and one cutaneous T-ALCL) were disease free at 4 and 5 years' follow-up, respectively. CONCLUSION This study shows that a heterogeneous group of T-cell lymphomas can involve the eye and its adnexal tissue. Most T-cell neoplasms are secondary manifestations of systemic disease and carry a poor prognosis. These findings, in conjunction with published data on ocular B-NHL, also indicate that immunophenotypic differentiation between T- and B-NHL in these locations is of clinical importance.", "author" : [ { "dropping-particle" : "", "family" : "Coupland", "given" : "S E", "non-dropping-particle" : "", "parse-names" : false, "suffix" : "" }, { "dropping-particle" : "", "family" : "Foss", "given" : "H D", "non-dropping-particle" : "", "parse-names" : false, "suffix" : "" }, { "dropping-particle" : "", "family" : "Assaf", "given" : "C", "non-dropping-particle" : "", "parse-names" : false, "suffix" : "" }, { "dropping-particle" : "", "family" : "Auw-Haedrich", "given" : "C", "non-dropping-particle" : "", "parse-names" : false, "suffix" : "" }, { "dropping-particle" : "", "family" : "Anastassiou", "given" : "G", "non-dropping-particle" : "", "parse-names" : false, "suffix" : "" }, { "dropping-particle" : "", "family" : "Anagnostopoulos", "given" : "I", "non-dropping-particle" : "", "parse-names" : false, "suffix" : "" }, { "dropping-particle" : "", "family" : "Hummel", "given" : "M", "non-dropping-particle" : "", "parse-names" : false, "suffix" : "" }, { "dropping-particle" : "", "family" : "Karesh", "given" : "J W", "non-dropping-particle" : "", "parse-names" : false, "suffix" : "" }, { "dropping-particle" : "", "family" : "Lee", "given" : "W R", "non-dropping-particle" : "", "parse-names" : false, "suffix" : "" }, { "dropping-particle" : "", "family" : "Stein", "given" : "H", "non-dropping-particle" : "", "parse-names" : false, "suffix" : "" }, { "dropping-particle" : "", "family" : "Coupland", "given" : "S.E.", "non-dropping-particle" : "", "parse-names" : false, "suffix" : "" }, { "dropping-particle" : "", "family" : "Krause", "given" : "L.", "non-dropping-particle" : "", "parse-names" : false, "suffix" : "" }, { "dropping-particle" : "", "family" : "Delecluse", "given" : "H.J.", "non-dropping-particle" : "", "parse-names" : false, "suffix" : "" }, { "dropping-particle" : "", "family" : "al.", "given" : "et", "non-dropping-particle" : "", "parse-names" : false, "suffix" : "" }, { "dropping-particle" : "", "family" : "Jakobiec", "given" : "F.A.", "non-dropping-particle" : "", "parse-names" : false, "suffix" : "" }, { "dropping-particle" : "", "family" : "Lefkowitch", "given" : "J.", "non-dropping-particle" : "", "parse-names" : false, "suffix" : "" }, { "dropping-particle" : "", "family" : "Knowles", "given" : "D.M.", "non-dropping-particle" : "", "parse-names" : false, "suffix" : "" }, { "dropping-particle" : "", "family" : "Peterson", "given" : "K.", "non-dropping-particle" : "", "parse-names" : false, "suffix" : "" }, { "dropping-particle" : "", "family" : "Gordon", "given" : "K.B.", "non-dropping-particle" : "", "parse-names" : false, "suffix" : "" }, { "dropping-particle" : "", "family" : "Heinemann", "given" : "M.H.", "non-dropping-particle" : "", "parse-names" : false, "suffix" : "" }, { "dropping-particle" : "", "family" : "DeAngelis", "given" : "L.M.", "non-dropping-particle" : "", "parse-names" : false, "suffix" : "" }, { "dropping-particle" : "", "family" : "White", "given" : "W.L.", "non-dropping-particle" : "", "parse-names" : false, "suffix" : "" }, { "dropping-particle" : "", "family" : "Ferry", "given" : "J.A.", "non-dropping-particle" : "", "parse-names" : false, "suffix" : "" }, { "dropping-particle" : "", "family" : "Harris", "given" : "N.L.", "non-dropping-particle" : "", "parse-names" : false, "suffix" : "" }, { "dropping-particle" : "", "family" : "Grove", "given" : "A.S.", "non-dropping-particle" : "", "parse-names" : false, "suffix" : "" }, { "dropping-particle" : "", "family" : "Harris", "given" : "N.L.", "non-dropping-particle" : "", "parse-names" : false, "suffix" : "" }, { "dropping-particle" : "", "family" : "Jaffe", "given" : "E.S.", "non-dropping-particle" : "", "parse-names" : false, "suffix" : "" }, { "dropping-particle" : "", "family" : "Stein", "given" : "H.", "non-dropping-particle" : "", "parse-names" : false, "suffix" : "" }, { "dropping-particle" : "", "family" : "al.", "given" : "et", "non-dropping-particle" : "", "parse-names" : false, "suffix" : "" }, { "dropping-particle" : "", "family" : "Henderson", "given" : "J.W.", "non-dropping-particle" : "", "parse-names" : false, "suffix" : "" }, { "dropping-particle" : "", "family" : "Banks", "given" : "P.M.", "non-dropping-particle" : "", "parse-names" : false, "suffix" : "" }, { "dropping-particle" : "", "family" : "Yeatts", "given" : "R.P.", "non-dropping-particle" : "", "parse-names" : false, "suffix" : "" }, { "dropping-particle" : "", "family" : "Kirsch", "given" : "L.S.", "non-dropping-particle" : "", "parse-names" : false, "suffix" : "" }, { "dropping-particle" : "", "family" : "Brownstein", "given" : "S.", "non-dropping-particle" : "", "parse-names" : false, "suffix" : "" }, { "dropping-particle" : "", "family" : "Codere", "given" : "F.", "non-dropping-particle" : "", "parse-names" : false, "suffix" : "" }, { "dropping-particle" : "", "family" : "Laroche", "given" : "L.", "non-dropping-particle" : "", "parse-names" : false, "suffix" : "" }, { "dropping-particle" : "", "family" : "Laroche", "given" : "L.", "non-dropping-particle" : "", "parse-names" : false, "suffix" : "" }, { "dropping-particle" : "", "family" : "Pavlakis", "given" : "E.", "non-dropping-particle" : "", "parse-names" : false, "suffix" : "" }, { "dropping-particle" : "", "family" : "Saraux", "given" : "H.", "non-dropping-particle" : "", "parse-names" : false, "suffix" : "" }, { "dropping-particle" : "", "family" : "Leidenix", "given" : "M.J.", "non-dropping-particle" : "", "parse-names" : false, "suffix" : "" }, { "dropping-particle" : "", "family" : "Mamalis", "given" : "N.", "non-dropping-particle" : "", "parse-names" : false, "suffix" : "" }, { "dropping-particle" : "", "family" : "Olson", "given" : "R.J.", "non-dropping-particle" : "", "parse-names" : false, "suffix" : "" }, { "dropping-particle" : "", "family" : "al.", "given" : "et", "non-dropping-particle" : "", "parse-names" : false, "suffix" : "" }, { "dropping-particle" : "", "family" : "Brewitt", "given" : "H.", "non-dropping-particle" : "", "parse-names" : false, "suffix" : "" }, { "dropping-particle" : "", "family" : "Hartung", "given" : "J.", "non-dropping-particle" : "", "parse-names" : false, "suffix" : "" }, { "dropping-particle" : "", "family" : "Hoffmann", "given" : "K.", "non-dropping-particle" : "", "parse-names" : false, "suffix" : "" }, { "dropping-particle" : "", "family" : "Deutsch", "given" : "A.R.", "non-dropping-particle" : "", "parse-names" : false, "suffix" : "" }, { "dropping-particle" : "", "family" : "Duckworth", "given" : "J.K.", "non-dropping-particle" : "", "parse-names" : false, "suffix" : "" }, { "dropping-particle" : "", "family" : "Durand", "given" : "L.", "non-dropping-particle" : "", "parse-names" : false, "suffix" : "" }, { "dropping-particle" : "", "family" : "Magnard", "given" : "G.", "non-dropping-particle" : "", "parse-names" : false, "suffix" : "" }, { "dropping-particle" : "", "family" : "Trepsat", "given" : "C.", "non-dropping-particle" : "", "parse-names" : false, "suffix" : "" }, { "dropping-particle" : "", "family" : "Fradkin", "given" : "A.H.", "non-dropping-particle" : "", "parse-names" : false, "suffix" : "" }, { "dropping-particle" : "", "family" : "Ruiz", "given" : "R.S.", "non-dropping-particle" : "", "parse-names" : false, "suffix" : "" }, { "dropping-particle" : "", "family" : "Sloane", "given" : "J.A.", "non-dropping-particle" : "", "parse-names" : false, "suffix" : "" }, { "dropping-particle" : "", "family" : "Meekins", "given" : "B.", "non-dropping-particle" : "", "parse-names" : false, "suffix" : "" }, { "dropping-particle" : "", "family" : "Proia", "given" : "A.D.", "non-dropping-particle" : "", "parse-names" : false, "suffix" : "" }, { "dropping-particle" : "", "family" : "Klintworth", "given" : "G.K.", "non-dropping-particle" : "", "parse-names" : false, "suffix" : "" }, { "dropping-particle" : "", "family" : "Sherman", "given" : "M.D.", "non-dropping-particle" : "", "parse-names" : false, "suffix" : "" }, { "dropping-particle" : "Van", "family" : "Dalen", "given" : "J.T.", "non-dropping-particle" : "", "parse-names" : false, "suffix" : "" }, { "dropping-particle" : "", "family" : "Conrad", "given" : "K.", "non-dropping-particle" : "", "parse-names" : false, "suffix" : "" }, { "dropping-particle" : "", "family" : "Stenson", "given" : "S.", "non-dropping-particle" : "", "parse-names" : false, "suffix" : "" }, { "dropping-particle" : "", "family" : "Ramsay", "given" : "D.L.", "non-dropping-particle" : "", "parse-names" : false, "suffix" : "" }, { "dropping-particle" : "", "family" : "Whitbeck", "given" : "E.G.", "non-dropping-particle" : "", "parse-names" : false, "suffix" : "" }, { "dropping-particle" : "", "family" : "Spiers", "given" : "A.S.", "non-dropping-particle" : "", "parse-names" : false, "suffix" : "" }, { "dropping-particle" : "", "family" : "Hussain", "given" : "M.", "non-dropping-particle" : "", "parse-names" : false, "suffix" : "" }, { "dropping-particle" : "", "family" : "Zucker", "given" : "J.L.", "non-dropping-particle" : "", "parse-names" : false, "suffix" : "" }, { "dropping-particle" : "", "family" : "Doyle", "given" : "M.F.", "non-dropping-particle" : "", "parse-names" : false, "suffix" : "" }, { "dropping-particle" : "", "family" : "Kohno", "given" : "T.", "non-dropping-particle" : "", "parse-names" : false, "suffix" : "" }, { "dropping-particle" : "", "family" : "Uchida", "given" : "H.", "non-dropping-particle" : "", "parse-names" : false, "suffix" : "" }, { "dropping-particle" : "", "family" : "Inomata", "given" : "H.", "non-dropping-particle" : "", "parse-names" : false, "suffix" : "" }, { "dropping-particle" : "", "family" : "al.", "given" : "et", "non-dropping-particle" : "", "parse-names" : false, "suffix" : "" }, { "dropping-particle" : "", "family" : "Kumar", "given" : "S.R.", "non-dropping-particle" : "", "parse-names" : false, "suffix" : "" }, { "dropping-particle" : "", "family" : "Gill", "given" : "P.S.", "non-dropping-particle" : "", "parse-names" : false, "suffix" : "" }, { "dropping-particle" : "", "family" : "Wagner", "given" : "D.G.", "non-dropping-particle" : "", "parse-names" : false, "suffix" : "" }, { "dropping-particle" : "", "family" : "al.", "given" : "et", "non-dropping-particle" : "", "parse-names" : false, "suffix" : "" }, { "dropping-particle" : "", "family" : "Ohba", "given" : "N.", "non-dropping-particle" : "", "parse-names" : false, "suffix" : "" }, { "dropping-particle" : "", "family" : "Matsumoto", "given" : "M.", "non-dropping-particle" : "", "parse-names" : false, "suffix" : "" }, { "dropping-particle" : "", "family" : "Sameshima", "given" : "M.", "non-dropping-particle" : "", "parse-names" : false, "suffix" : "" }, { "dropping-particle" : "", "family" : "al.", "given" : "et", "non-dropping-particle" : "", "parse-names" : false, "suffix" : "" }, { "dropping-particle" : "", "family" : "Uchiyama", "given" : "T.", "non-dropping-particle" : "", "parse-names" : false, "suffix" : "" }, { "dropping-particle" : "", "family" : "Yodoi", "given" : "J.", "non-dropping-particle" : "", "parse-names" : false, "suffix" : "" }, { "dropping-particle" : "", "family" : "Sagawa", "given" : "K.", "non-dropping-particle" : "", "parse-names" : false, "suffix" : "" }, { "dropping-particle" : "", "family" : "al.", "given" : "et", "non-dropping-particle" : "", "parse-names" : false, "suffix" : "" }, { "dropping-particle" : "", "family" : "Suchi", "given" : "T.", "non-dropping-particle" : "", "parse-names" : false, "suffix" : "" }, { "dropping-particle" : "", "family" : "Lennert", "given" : "K.", "non-dropping-particle" : "", "parse-names" : false, "suffix" : "" }, { "dropping-particle" : "", "family" : "Tu", "given" : "L.Y.", "non-dropping-particle" : "", "parse-names" : false, "suffix" : "" }, { "dropping-particle" : "", "family" : "al.", "given" : "et", "non-dropping-particle" : "", "parse-names" : false, "suffix" : "" }, { "dropping-particle" : "", "family" : "Norton", "given" : "A.J.", "non-dropping-particle" : "", "parse-names" : false, "suffix" : "" }, { "dropping-particle" : "", "family" : "Jordan", "given" : "S.", "non-dropping-particle" : "", "parse-names" : false, "suffix" : "" }, { "dropping-particle" : "", "family" : "Yeomans", "given" : "P.", "non-dropping-particle" : "", "parse-names" : false, "suffix" : "" }, { "dropping-particle" : "", "family" : "Cordell", "given" : "J.L.", "non-dropping-particle" : "", "parse-names" : false, "suffix" : "" }, { "dropping-particle" : "", "family" : "Falini", "given" : "B.", "non-dropping-particle" : "", "parse-names" : false, "suffix" : "" }, { "dropping-particle" : "", "family" : "Erber", "given" : "W.N.", "non-dropping-particle" : "", "parse-names" : false, "suffix" : "" }, { "dropping-particle" : "", "family" : "al.", "given" : "et", "non-dropping-particle" : "", "parse-names" : false, "suffix" : "" }, { "dropping-particle" : "", "family" : "Dippel", "given" : "E.", "non-dropping-particle" : "", "parse-names" : false, "suffix" : "" }, { "dropping-particle" : "", "family" : "Assaf", "given" : "C.", "non-dropping-particle" : "", "parse-names" : false, "suffix" : "" }, { "dropping-particle" : "", "family" : "Hummel", "given" : "M.", "non-dropping-particle" : "", "parse-names" : false, "suffix" : "" }, { "dropping-particle" : "", "family" : "al.", "given" : "et", "non-dropping-particle" : "", "parse-names" : false, "suffix" : "" }, { "dropping-particle" : "", "family" : "Jaffe", "given" : "E.S.", "non-dropping-particle" : "", "parse-names" : false, "suffix" : "" }, { "dropping-particle" : "", "family" : "Krenacs", "given" : "L.", "non-dropping-particle" : "", "parse-names" : false, "suffix" : "" }, { "dropping-particle" : "", "family" : "Raffeld", "given" : "M.C.", "non-dropping-particle" : "", "parse-names" : false, "suffix" : "" }, { "dropping-particle" : "", "family" : "Jensen", "given" : "O.A.", "non-dropping-particle" : "", "parse-names" : false, "suffix" : "" }, { "dropping-particle" : "", "family" : "Johansen", "given" : "S.", "non-dropping-particle" : "", "parse-names" : false, "suffix" : "" }, { "dropping-particle" : "", "family" : "Kiss", "given" : "K.", "non-dropping-particle" : "", "parse-names" : false, "suffix" : "" }, { "dropping-particle" : "", "family" : "Goldey", "given" : "S.H.", "non-dropping-particle" : "", "parse-names" : false, "suffix" : "" }, { "dropping-particle" : "", "family" : "Srn", "given" : "G.A.", "non-dropping-particle" : "", "parse-names" : false, "suffix" : "" }, { "dropping-particle" : "", "family" : "Oblon", "given" : "D.J.", "non-dropping-particle" : "", "parse-names" : false, "suffix" : "" }, { "dropping-particle" : "", "family" : "al.", "given" : "et", "non-dropping-particle" : "", "parse-names" : false, "suffix" : "" }, { "dropping-particle" : "", "family" : "Saga", "given" : "T.", "non-dropping-particle" : "", "parse-names" : false, "suffix" : "" }, { "dropping-particle" : "", "family" : "Ohno", "given" : "S.", "non-dropping-particle" : "", "parse-names" : false, "suffix" : "" }, { "dropping-particle" : "", "family" : "Matsuda", "given" : "H.", "non-dropping-particle" : "", "parse-names" : false, "suffix" : "" }, { "dropping-particle" : "", "family" : "al.", "given" : "et", "non-dropping-particle" : "", "parse-names" : false, "suffix" : "" }, { "dropping-particle" : "", "family" : "Reim", "given" : "H.", "non-dropping-particle" : "", "parse-names" : false, "suffix" : "" }, { "dropping-particle" : "", "family" : "Dieler", "given" : "R.", "non-dropping-particle" : "", "parse-names" : false, "suffix" : "" }, { "dropping-particle" : "", "family" : "Wessing", "given" : "A.", "non-dropping-particle" : "", "parse-names" : false, "suffix" : "" }, { "dropping-particle" : "", "family" : "Whitcup", "given" : "S.M.", "non-dropping-particle" : "", "parse-names" : false, "suffix" : "" }, { "dropping-particle" : "de", "family" : "Smet", "given" : "M.D.", "non-dropping-particle" : "", "parse-names" : false, "suffix" : "" }, { "dropping-particle" : "", "family" : "Rubin", "given" : "B.I.", "non-dropping-particle" : "", "parse-names" : false, "suffix" : "" }, { "dropping-particle" : "", "family" : "al.", "given" : "et", "non-dropping-particle" : "", "parse-names" : false, "suffix" : "" }, { "dropping-particle" : "", "family" : "Morgan", "given" : "G.", "non-dropping-particle" : "", "parse-names" : false, "suffix" : "" }, { "dropping-particle" : "", "family" : "Harry", "given" : "J.", "non-dropping-particle" : "", "parse-names" : false, "suffix" : "" }, { "dropping-particle" : "", "family" : "Knowles", "given" : "D.M.", "non-dropping-particle" : "", "parse-names" : false, "suffix" : "" }, { "dropping-particle" : "", "family" : "Jakobiec", "given" : "F.A.", "non-dropping-particle" : "", "parse-names" : false, "suffix" : "" }, { "dropping-particle" : "", "family" : "McNally", "given" : "L.", "non-dropping-particle" : "", "parse-names" : false, "suffix" : "" }, { "dropping-particle" : "", "family" : "Burke", "given" : "J.S.", "non-dropping-particle" : "", "parse-names" : false, "suffix" : "" }, { "dropping-particle" : "", "family" : "Ferry", "given" : "J.A.", "non-dropping-particle" : "", "parse-names" : false, "suffix" : "" }, { "dropping-particle" : "", "family" : "Harris", "given" : "N.L.", "non-dropping-particle" : "", "parse-names" : false, "suffix" : "" }, { "dropping-particle" : "", "family" : "Young", "given" : "R.H.", "non-dropping-particle" : "", "parse-names" : false, "suffix" : "" }, { "dropping-particle" : "", "family" : "al.", "given" : "et", "non-dropping-particle" : "", "parse-names" : false, "suffix" : "" }, { "dropping-particle" : "", "family" : "Moller", "given" : "M.B.", "non-dropping-particle" : "", "parse-names" : false, "suffix" : "" }, { "dropping-particle" : "", "family" : "d\u2019Amore", "given" : "F.", "non-dropping-particle" : "", "parse-names" : false, "suffix" : "" }, { "dropping-particle" : "", "family" : "Christensen", "given" : "B.E.", "non-dropping-particle" : "", "parse-names" : false, "suffix" : "" }, { "dropping-particle" : "", "family" : "Takeuchi", "given" : "T.", "non-dropping-particle" : "", "parse-names" : false, "suffix" : "" }, { "dropping-particle" : "", "family" : "Matsuki", "given" : "K.", "non-dropping-particle" : "", "parse-names" : false, "suffix" : "" }, { "dropping-particle" : "", "family" : "Ishida", "given" : "Y.", "non-dropping-particle" : "", "parse-names" : false, "suffix" : "" }, { "dropping-particle" : "", "family" : "al.", "given" : "et", "non-dropping-particle" : "", "parse-names" : false, "suffix" : "" }, { "dropping-particle" : "", "family" : "Wilkins", "given" : "B.S.", "non-dropping-particle" : "", "parse-names" : false, "suffix" : "" }, { "dropping-particle" : "", "family" : "Williamson", "given" : "J.M.", "non-dropping-particle" : "", "parse-names" : false, "suffix" : "" }, { "dropping-particle" : "", "family" : "O\u2019Brien", "given" : "C.J.", "non-dropping-particle" : "", "parse-names" : false, "suffix" : "" }, { "dropping-particle" : "", "family" : "Baldetorp", "given" : "L.A.", "non-dropping-particle" : "", "parse-names" : false, "suffix" : "" }, { "dropping-particle" : "", "family" : "Brunkvall", "given" : "J.", "non-dropping-particle" : "", "parse-names" : false, "suffix" : "" }, { "dropping-particle" : "", "family" : "Cavallin-Stahl", "given" : "E.", "non-dropping-particle" : "", "parse-names" : false, "suffix" : "" }, { "dropping-particle" : "", "family" : "al.", "given" : "et", "non-dropping-particle" : "", "parse-names" : false, "suffix" : "" }, { "dropping-particle" : "", "family" : "Doll", "given" : "D.C.", "non-dropping-particle" : "", "parse-names" : false, "suffix" : "" }, { "dropping-particle" : "", "family" : "Weiss", "given" : "R.B.", "non-dropping-particle" : "", "parse-names" : false, "suffix" : "" }, { "dropping-particle" : "", "family" : "Nonomura", "given" : "N.", "non-dropping-particle" : "", "parse-names" : false, "suffix" : "" }, { "dropping-particle" : "", "family" : "Aozasa", "given" : "K.", "non-dropping-particle" : "", "parse-names" : false, "suffix" : "" }, { "dropping-particle" : "", "family" : "Ueda", "given" : "T.", "non-dropping-particle" : "", "parse-names" : false, "suffix" : "" }, { "dropping-particle" : "", "family" : "al.", "given" : "et", "non-dropping-particle" : "", "parse-names" : false, "suffix" : "" }, { "dropping-particle" : "", "family" : "Turner", "given" : "R.R.", "non-dropping-particle" : "", "parse-names" : false, "suffix" : "" }, { "dropping-particle" : "", "family" : "Colby", "given" : "T.V.", "non-dropping-particle" : "", "parse-names" : false, "suffix" : "" }, { "dropping-particle" : "", "family" : "MacKintosh", "given" : "F.R.", "non-dropping-particle" : "", "parse-names" : false, "suffix" : "" }, { "dropping-particle" : "", "family" : "Kadin", "given" : "M.E.", "non-dropping-particle" : "", "parse-names" : false, "suffix" : "" }, { "dropping-particle" : "", "family" : "Kadin", "given" : "M.E.", "non-dropping-particle" : "", "parse-names" : false, "suffix" : "" }, { "dropping-particle" : "", "family" : "Pileri", "given" : "S.", "non-dropping-particle" : "", "parse-names" : false, "suffix" : "" }, { "dropping-particle" : "", "family" : "Bocchia", "given" : "M.", "non-dropping-particle" : "", "parse-names" : false, "suffix" : "" }, { "dropping-particle" : "", "family" : "Baroni", "given" : "C.D.", "non-dropping-particle" : "", "parse-names" : false, "suffix" : "" }, { "dropping-particle" : "", "family" : "al.", "given" : "et", "non-dropping-particle" : "", "parse-names" : false, "suffix" : "" }, { "dropping-particle" : "", "family" : "Pileri", "given" : "S.A.", "non-dropping-particle" : "", "parse-names" : false, "suffix" : "" }, { "dropping-particle" : "", "family" : "Piccaluga", "given" : "A.", "non-dropping-particle" : "", "parse-names" : false, "suffix" : "" }, { "dropping-particle" : "", "family" : "Poggi", "given" : "S.", "non-dropping-particle" : "", "parse-names" : false, "suffix" : "" }, { "dropping-particle" : "", "family" : "al.", "given" : "et", "non-dropping-particle" : "", "parse-names" : false, "suffix" : "" }, { "dropping-particle" : "de", "family" : "Kan", "given" : "R.", "non-dropping-particle" : "", "parse-names" : false, "suffix" : "" }, { "dropping-particle" : "", "family" : "Veer", "given" : "M.B. van \u2019t", "non-dropping-particle" : "", "parse-names" : false, "suffix" : "" }, { "dropping-particle" : "", "family" : "Rodriguez", "given" : "J.", "non-dropping-particle" : "", "parse-names" : false, "suffix" : "" }, { "dropping-particle" : "", "family" : "Pugh", "given" : "W.", "non-dropping-particle" : "", "parse-names" : false, "suffix" : "" }, { "dropping-particle" : "", "family" : "Romaguera", "given" : "J.", "non-dropping-particle" : "", "parse-names" : false, "suffix" : "" }, { "dropping-particle" : "", "family" : "Cabanillas", "given" : "F.", "non-dropping-particle" : "", "parse-names" : false, "suffix" : "" }, { "dropping-particle" : "", "family" : "Foss", "given" : "H.D.", "non-dropping-particle" : "", "parse-names" : false, "suffix" : "" }, { "dropping-particle" : "", "family" : "Anagnostopoulos", "given" : "I.", "non-dropping-particle" : "", "parse-names" : false, "suffix" : "" }, { "dropping-particle" : "", "family" : "Araujo", "given" : "I.", "non-dropping-particle" : "", "parse-names" : false, "suffix" : "" }, { "dropping-particle" : "", "family" : "al.", "given" : "et", "non-dropping-particle" : "", "parse-names" : false, "suffix" : "" }, { "dropping-particle" : "", "family" : "Mason", "given" : "D.Y.", "non-dropping-particle" : "", "parse-names" : false, "suffix" : "" }, { "dropping-particle" : "", "family" : "Bastard", "given" : "C.", "non-dropping-particle" : "", "parse-names" : false, "suffix" : "" }, { "dropping-particle" : "", "family" : "Rimokh", "given" : "R.", "non-dropping-particle" : "", "parse-names" : false, "suffix" : "" }, { "dropping-particle" : "", "family" : "al.", "given" : "et", "non-dropping-particle" : "", "parse-names" : false, "suffix" : "" }, { "dropping-particle" : "", "family" : "Zinzani", "given" : "P.L.", "non-dropping-particle" : "", "parse-names" : false, "suffix" : "" }, { "dropping-particle" : "", "family" : "Bendandi", "given" : "M.", "non-dropping-particle" : "", "parse-names" : false, "suffix" : "" }, { "dropping-particle" : "", "family" : "Martelli", "given" : "M.", "non-dropping-particle" : "", "parse-names" : false, "suffix" : "" }, { "dropping-particle" : "", "family" : "al.", "given" : "et", "non-dropping-particle" : "", "parse-names" : false, "suffix" : "" }, { "dropping-particle" : "", "family" : "Segal", "given" : "Z.I.", "non-dropping-particle" : "", "parse-names" : false, "suffix" : "" }, { "dropping-particle" : "", "family" : "Cohen", "given" : "I.", "non-dropping-particle" : "", "parse-names" : false, "suffix" : "" }, { "dropping-particle" : "", "family" : "Szvalb", "given" : "S.", "non-dropping-particle" : "", "parse-names" : false, "suffix" : "" }, { "dropping-particle" : "", "family" : "al.", "given" : "et", "non-dropping-particle" : "", "parse-names" : false, "suffix" : "" }, { "dropping-particle" : "", "family" : "Willemze", "given" : "R.", "non-dropping-particle" : "", "parse-names" : false, "suffix" : "" }, { "dropping-particle" : "", "family" : "Kerl", "given" : "H.", "non-dropping-particle" : "", "parse-names" : false, "suffix" : "" }, { "dropping-particle" : "", "family" : "Sterry", "given" : "W.", "non-dropping-particle" : "", "parse-names" : false, "suffix" : "" }, { "dropping-particle" : "", "family" : "al.", "given" : "et", "non-dropping-particle" : "", "parse-names" : false, "suffix" : "" }, { "dropping-particle" : "", "family" : "Kwong", "given" : "Y.L.", "non-dropping-particle" : "", "parse-names" : false, "suffix" : "" }, { "dropping-particle" : "", "family" : "Chan", "given" : "A.C.", "non-dropping-particle" : "", "parse-names" : false, "suffix" : "" }, { "dropping-particle" : "", "family" : "Liang", "given" : "R.", "non-dropping-particle" : "", "parse-names" : false, "suffix" : "" }, { "dropping-particle" : "", "family" : "al.", "given" : "et", "non-dropping-particle" : "", "parse-names" : false, "suffix" : "" }, { "dropping-particle" : "", "family" : "Chan", "given" : "J.K.", "non-dropping-particle" : "", "parse-names" : false, "suffix" : "" }, { "dropping-particle" : "", "family" : "Sin", "given" : "V.C.", "non-dropping-particle" : "", "parse-names" : false, "suffix" : "" }, { "dropping-particle" : "", "family" : "Wong", "given" : "K.F.", "non-dropping-particle" : "", "parse-names" : false, "suffix" : "" }, { "dropping-particle" : "", "family" : "al.", "given" : "et", "non-dropping-particle" : "", "parse-names" : false, "suffix" : "" }, { "dropping-particle" : "", "family" : "Chan", "given" : "J.K.", "non-dropping-particle" : "", "parse-names" : false, "suffix" : "" }, { "dropping-particle" : "", "family" : "Tsang", "given" : "W.Y.", "non-dropping-particle" : "", "parse-names" : false, "suffix" : "" }, { "dropping-particle" : "", "family" : "Hui", "given" : "P.K.", "non-dropping-particle" : "", "parse-names" : false, "suffix" : "" }, { "dropping-particle" : "", "family" : "al.", "given" : "et", "non-dropping-particle" : "", "parse-names" : false, "suffix" : "" }, { "dropping-particle" : "", "family" : "Cochereau", "given" : "I.", "non-dropping-particle" : "", "parse-names" : false, "suffix" : "" }, { "dropping-particle" : "", "family" : "Hannouche", "given" : "D.", "non-dropping-particle" : "", "parse-names" : false, "suffix" : "" }, { "dropping-particle" : "", "family" : "Geoffray", "given" : "C.", "non-dropping-particle" : "", "parse-names" : false, "suffix" : "" }, { "dropping-particle" : "", "family" : "al.", "given" : "et", "non-dropping-particle" : "", "parse-names" : false, "suffix" : "" } ], "container-title" : "Ophthalmology", "id" : "ITEM-1", "issue" : "11", "issued" : { "date-parts" : [ [ "1999", "11" ] ] }, "page" : "2109-20", "publisher" : "Elsevier", "title" : "T-cell and T/natural killer-cell lymphomas involving ocular and ocular adnexal tissues: a clinicopathologic, immunohistochemical, and molecular study of seven cases.", "type" : "article-journal", "volume" : "106" }, "uris" : [ "http://www.mendeley.com/documents/?uuid=b388d735-f8bc-3988-9212-e99e1c8bd476" ] }, { "id" : "ITEM-2", "itemData" : { "DOI" : "10.3341/kjo.2006.20.3.192", "ISSN" : "1011-8942", "PMID" : "17004636", "abstract" : "PURPOSE To present a case of peripheral T-cell lymphoma presenting as painful ophthalmoplegia. METHODS A 61-year-old woman presented with a 2-week history of headache and eyeball pain. Examination showed mild exophthalmos, complete ophthalmoplegia, and ptosis of the left eye. Under the impression of nonspecific orbital inflammation, she was treated with oral prednisone with initial response. Two months later, she revisited the clinic with exacerbated symptoms. Anterior orbitotomy and incisional biopsy was performed for the inferior rectus muscle lesion. RESULTS Histopathologic examination revealed an infiltrate of atypical lymphoid cells between degenerative muscle bundles. It was consistent with peripheral T-cell lymphoma. A metastatic workup was performed without any evidence of extraorbital tumor. The patient was recommended to be treated with chemotherapy, however, refused to take the treatment. The patient died of progression of the disease in a month. CONCLUSIONS T-cell lymphoma in the orbit can present as painful ophthalmoplegia and take a rapid clinical course. The disease should be regarded as one of the differential diagnosis for painful ophthalmoplegia refractory to corticosteroid therapy.", "author" : [ { "dropping-particle" : "", "family" : "Lee", "given" : "Dong Sub", "non-dropping-particle" : "", "parse-names" : false, "suffix" : "" }, { "dropping-particle" : "", "family" : "Woo", "given" : "Kyung In", "non-dropping-particle" : "", "parse-names" : false, "suffix" : "" }, { "dropping-particle" : "", "family" : "Chang", "given" : "Hae Ran", "non-dropping-particle" : "", "parse-names" : false, "suffix" : "" }, { "dropping-particle" : "", "family" : "Cruz", "given" : "AA", "non-dropping-particle" : "", "parse-names" : false, "suffix" : "" }, { "dropping-particle" : "", "family" : "Leite", "given" : "LV", "non-dropping-particle" : "", "parse-names" : false, "suffix" : "" }, { "dropping-particle" : "", "family" : "Chahud", "given" : "F", "non-dropping-particle" : "", "parse-names" : false, "suffix" : "" }, { "dropping-particle" : "", "family" : "Saga", "given" : "T", "non-dropping-particle" : "", "parse-names" : false, "suffix" : "" }, { "dropping-particle" : "", "family" : "Ohno", "given" : "S", "non-dropping-particle" : "", "parse-names" : false, "suffix" : "" }, { "dropping-particle" : "", "family" : "Matsuda", "given" : "H", "non-dropping-particle" : "", "parse-names" : false, "suffix" : "" }, { "dropping-particle" : "", "family" : "Freeman", "given" : "C", "non-dropping-particle" : "", "parse-names" : false, "suffix" : "" }, { "dropping-particle" : "", "family" : "Berg", "given" : "JW", "non-dropping-particle" : "", "parse-names" : false, "suffix" : "" }, { "dropping-particle" : "", "family" : "Cutler", "given" : "SJ", "non-dropping-particle" : "", "parse-names" : false, "suffix" : "" }, { "dropping-particle" : "", "family" : "White", "given" : "WL", "non-dropping-particle" : "", "parse-names" : false, "suffix" : "" }, { "dropping-particle" : "", "family" : "Ferry", "given" : "JA", "non-dropping-particle" : "", "parse-names" : false, "suffix" : "" }, { "dropping-particle" : "", "family" : "Harris", "given" : "NL", "non-dropping-particle" : "", "parse-names" : false, "suffix" : "" }, { "dropping-particle" : "", "family" : "Rootman", "given" : "J", "non-dropping-particle" : "", "parse-names" : false, "suffix" : "" }, { "dropping-particle" : "", "family" : "White", "given" : "VA", "non-dropping-particle" : "", "parse-names" : false, "suffix" : "" }, { "dropping-particle" : "", "family" : "Connors", "given" : "JM", "non-dropping-particle" : "", "parse-names" : false, "suffix" : "" }, { "dropping-particle" : "", "family" : "Rootman", "given" : "J", "non-dropping-particle" : "", "parse-names" : false, "suffix" : "" }, { "dropping-particle" : "", "family" : "Hassan", "given" : "AS", "non-dropping-particle" : "", "parse-names" : false, "suffix" : "" }, { "dropping-particle" : "", "family" : "Elner", "given" : "VM", "non-dropping-particle" : "", "parse-names" : false, "suffix" : "" }, { "dropping-particle" : "", "family" : "Leindenix", "given" : "MJ", "non-dropping-particle" : "", "parse-names" : false, "suffix" : "" }, { "dropping-particle" : "", "family" : "Mamalis", "given" : "N", "non-dropping-particle" : "", "parse-names" : false, "suffix" : "" }, { "dropping-particle" : "", "family" : "Olson", "given" : "RJ", "non-dropping-particle" : "", "parse-names" : false, "suffix" : "" }, { "dropping-particle" : "", "family" : "Macon", "given" : "WR", "non-dropping-particle" : "", "parse-names" : false, "suffix" : "" }, { "dropping-particle" : "", "family" : "Casey", "given" : "TT", "non-dropping-particle" : "", "parse-names" : false, "suffix" : "" }, { "dropping-particle" : "", "family" : "Kinney", "given" : "MC", "non-dropping-particle" : "", "parse-names" : false, "suffix" : "" }, { "dropping-particle" : "", "family" : "Stenson", "given" : "S", "non-dropping-particle" : "", "parse-names" : false, "suffix" : "" }, { "dropping-particle" : "", "family" : "Ramsay", "given" : "DL", "non-dropping-particle" : "", "parse-names" : false, "suffix" : "" }, { "dropping-particle" : "", "family" : "Meekins", "given" : "B", "non-dropping-particle" : "", "parse-names" : false, "suffix" : "" }, { "dropping-particle" : "", "family" : "Proia", "given" : "AD", "non-dropping-particle" : "", "parse-names" : false, "suffix" : "" }, { "dropping-particle" : "", "family" : "Klintworth", "given" : "GK", "non-dropping-particle" : "", "parse-names" : false, "suffix" : "" }, { "dropping-particle" : "", "family" : "Coupland", "given" : "SE", "non-dropping-particle" : "", "parse-names" : false, "suffix" : "" }, { "dropping-particle" : "", "family" : "Foss", "given" : "HD", "non-dropping-particle" : "", "parse-names" : false, "suffix" : "" }, { "dropping-particle" : "", "family" : "Assaf", "given" : "C", "non-dropping-particle" : "", "parse-names" : false, "suffix" : "" } ], "container-title" : "Korean journal of ophthalmology : KJO", "id" : "ITEM-2", "issue" : "3", "issued" : { "date-parts" : [ [ "2006", "9" ] ] }, "page" : "192-4", "publisher" : "Lippincott Williams &amp; Wilkins", "title" : "T-cell lymphoma presenting as painful ophthalmoplegia.", "type" : "article-journal", "volume" : "20" }, "uris" : [ "http://www.mendeley.com/documents/?uuid=5c1c4842-f8b8-3dce-8aad-0a0c99f3343b" ] }, { "id" : "ITEM-3", "itemData" : { "DOI" : "10.1001/archopht.125.9.1289", "ISSN" : "0003-9950", "PMID" : "17846377", "author" : [ { "dropping-particle" : "", "family" : "Janatpour", "given" : "Kim A.", "non-dropping-particle" : "", "parse-names" : false, "suffix" : "" }, { "dropping-particle" : "", "family" : "Choo", "given" : "Philip H.", "non-dropping-particle" : "", "parse-names" : false, "suffix" : "" }, { "dropping-particle" : "", "family" : "Lloyd", "given" : "William C.", "non-dropping-particle" : "", "parse-names" : false, "suffix" : "" } ], "container-title" : "Archives of ophthalmology (Chicago, Ill. : 1960)", "id" : "ITEM-3", "issue" : "9", "issued" : { "date-parts" : [ [ "2007", "9", "1" ] ] }, "page" : "1289-92", "publisher" : "American Medical Association", "title" : "Primary orbital peripheral T-cell lymphoma: histologic, immunophenotypic, and genotypic features.", "type" : "article-journal", "volume" : "125" }, "uris" : [ "http://www.mendeley.com/documents/?uuid=4ef943ce-5603-342c-ab95-165616c8f857" ] }, { "id" : "ITEM-4", "itemData" : { "DOI" : "10.1001/archophthalmol.2009.168", "ISSN" : "0003-9950", "author" : [ { "dropping-particle" : "", "family" : "Chen", "given" : "Ying-Jen", "non-dropping-particle" : "", "parse-names" : false, "suffix" : "" }, { "dropping-particle" : "", "family" : "Chen", "given" : "Jiann-Torng", "non-dropping-particle" : "", "parse-names" : false, "suffix" : "" }, { "dropping-particle" : "", "family" : "Lu", "given" : "Da-Wen", "non-dropping-particle" : "", "parse-names" : false, "suffix" : "" }, { "dropping-particle" : "", "family" : "Gao", "given" : "Hong-Wei", "non-dropping-particle" : "", "parse-names" : false, "suffix" : "" }, { "dropping-particle" : "", "family" : "Tai", "given" : "Ming-Cheng", "non-dropping-particle" : "", "parse-names" : false, "suffix" : "" }, { "dropping-particle" : "", "family" : "KA", "given" : "Janatpour", "non-dropping-particle" : "", "parse-names" : false, "suffix" : "" }, { "dropping-particle" : "", "family" : "JJ", "given" : "Woog", "non-dropping-particle" : "", "parse-names" : false, "suffix" : "" }, { "dropping-particle" : "", "family" : "SE", "given" : "Coupland", "non-dropping-particle" : "", "parse-names" : false, "suffix" : "" } ], "container-title" : "Archives of Ophthalmology", "id" : "ITEM-4", "issue" : "8", "issued" : { "date-parts" : [ [ "2009", "8", "1" ] ] }, "page" : "1070", "publisher" : "American Medical Association", "title" : "Primary Peripheral T-Cell Lymphoma of the Orbit", "type" : "article-journal", "volume" : "127" }, "uris" : [ "http://www.mendeley.com/documents/?uuid=60890fc2-593d-320d-8d2d-4274f5173316" ] }, { "id" : "ITEM-5", "itemData" : { "abstract" : "Background. The ocular adnexal region is the primary lo-calization of extranodal lymphoma in 5% to 15% of all Non-Hodgkin lymphoma. Intraocular lymphoma of T-cell origin is extremely rare and such sites of infiltration have been rarely observed in clinical examination. Case report. We presented a 56-year-old man with iris infiltration by primary intraocular peripheral T-cell lymphoma. The patient was in clinical stage I BE and the treatment was initiated according to cyclophos-phamide, hydroxydaunorubicin, oncovin, prednisone (CHOP) regimen. When the second course of the therapy was scheduled, the patient developed central nervous system lymphoma infiltration. Although De Angelis regimen was used, 3 months after the diagnosis was established, lethal out-come ensued due to disease progression. Conclusion. Ac-cording to our experience we can conclude that further therapeutical approach to patients with primary intraocular T-cell lymphoma requires modification of conventional treat-ment regimens. The lower median survival in these patients suggests that the disease may be of more aggressive course. Apstrakt Uvod. Okularni adneksi su primarna lokalizacija ekstrano-dalnih limfoma kod 5\u201315% svih non-Hodgkin limfoma. In-traokularni limfom T-\u0107elijskog porekla je redak i u dosada\u0161-njoj klini\u010dkoj praksi nije zabele\u017eeno mnogo ovakvih slu\u010daje-va. Prikaz bolesnika. Prikazali smo bolesnika, starog 56 godina, sa infiltracijom du\u017eice primarnim perifernim T-\u0107elijskim limfomom. Bolesnik je inicijalno bio u I BE klini\u010d-kom stadijumu i zapo\u010deto je le\u010denje prema ciklofosfamid, hidroksidaunorubicin, onkovin, prednizon (CHOP) terapij-skom protokolu. U terminu kada je zakazan drugi terapijski ciklus potvr\u0111ena je infiltracija centralnog nervnog sistema. Iako je le\u010denje nastavljeno prema De Angelis protokolu, do-\u0161lo je do progresije bolesti i smrtnog ishoda tri meseca na-kon postavljanja dijagnoze. Zaklju\u010dak. Na osnovu na\u0161eg iskustva mo\u017eemo da zaklju\u010dimo da konvencionalni terapijski pristup u le\u010denju bolesnika sa primarnim intraokularnim T-\u0107elijskim limfomom zahteva modifikaciju. Ni\u017ea stopa pre\u017ei-vljavanja ovih bolesnika ukazuje na to da bolest mo\u017ee imati agresivniji tok.", "author" : [ { "dropping-particle" : "", "family" : "Mihaljevi\u0107", "given" : "Biljana", "non-dropping-particle" : "", "parse-names" : false, "suffix" : "" }, { "dropping-particle" : "", "family" : "Sretenovi\u0107", "given" : "Aleksandra", "non-dropping-particle" : "", "parse-names" : false, "suffix" : "" }, { "dropping-particle" : "", "family" : "Jakovi\u0107", "given" : "Ljubomir", "non-dropping-particle" : "", "parse-names" : false, "suffix" : "" }, { "dropping-particle" : "", "family" : "Jovanovi\u0107", "given" : "Maja Peruni\u010di\u0107", "non-dropping-particle" : "", "parse-names" : false, "suffix" : "" }, { "dropping-particle" : "", "family" : "Kova\u010devi\u0107", "given" : "Dragana", "non-dropping-particle" : "", "parse-names" : false, "suffix" : "" }, { "dropping-particle" : "", "family" : "Ra\u0161i\u0107", "given" : "Dejan", "non-dropping-particle" : "", "parse-names" : false, "suffix" : "" }, { "dropping-particle" : "", "family" : "Latkovi\u0107", "given" : "Zoran", "non-dropping-particle" : "", "parse-names" : false, "suffix" : "" } ], "id" : "ITEM-5", "issued" : { "date-parts" : [ [ "0" ] ] }, "title" : "A case of primary peripheral T-cell type Non-Hodgkin lymphoma originating in the iris \u2013 clinicopathological findings", "type" : "article-journal" }, "uris" : [ "http://www.mendeley.com/documents/?uuid=e9b8bee1-5248-3c2d-83f6-c7728609cd47" ] }, { "id" : "ITEM-6", "itemData" : { "DOI" : "10.1136/bcr-2012-006847", "ISSN" : "1757-790X", "PMID" : "23087277", "abstract" : "Non-Hodgkin's lymphoma (NHL) can have extra-nodal presentation in approximately 25% of cases unlike Hodgkin's lymphoma which rarely involves extra-nodal sites. Extra-nodal lymphoma in the head and neck region is extremely rare. We report a case of 6-year-old girl who presented with medial canthus mass with proptosis, lagophthalmos and no significant loss of vision. CT findings showed an extra-conal homogenous mass lesion in the left orbit along superior and medial orbital wall with extensive destruction of surrounding tissue. Histological sections showed polymorphous population of atypical lymphoid cells accompanied by plasma cells, eosinophils and proliferation of small blood vessels with plump endothelial cells. A diagnosis of NHL was rendered. Further, immunohistochemistry confirmed the lesion as peripheral T-cell lymphoma. The lesion was aggressive in course and the patient succumbed within one-and-half months of diagnosis.", "author" : [ { "dropping-particle" : "", "family" : "Amit", "given" : "Sonal", "non-dropping-particle" : "", "parse-names" : false, "suffix" : "" }, { "dropping-particle" : "", "family" : "Purwar", "given" : "Neetu", "non-dropping-particle" : "", "parse-names" : false, "suffix" : "" }, { "dropping-particle" : "", "family" : "Agarwal", "given" : "Asha", "non-dropping-particle" : "", "parse-names" : false, "suffix" : "" }, { "dropping-particle" : "", "family" : "Kanchan", "given" : "Shrivastava", "non-dropping-particle" : "", "parse-names" : false, "suffix" : "" } ], "container-title" : "BMJ case reports", "id" : "ITEM-6", "issue" : "oct19_1", "issued" : { "date-parts" : [ [ "2012" ] ] }, "page" : "bcr2012006847-", "publisher" : "BMJ Group", "title" : "Primary orbital non-Hodgkin's lymphoma.", "type" : "article-journal", "volume" : "2012" }, "uris" : [ "http://www.mendeley.com/documents/?uuid=f4a5c164-b824-3e76-9db8-d13c57a7dc57" ] } ], "mendeley" : { "formattedCitation" : "&lt;sup&gt;2\u20137&lt;/sup&gt;", "plainTextFormattedCitation" : "2\u20137", "previouslyFormattedCitation" : "&lt;sup&gt;2\u20137&lt;/sup&gt;" }, "properties" : { "noteIndex" : 0 }, "schema" : "https://github.com/citation-style-language/schema/raw/master/csl-citation.json" }</w:instrText>
      </w:r>
      <w:r>
        <w:fldChar w:fldCharType="separate"/>
      </w:r>
      <w:r w:rsidRPr="00D10F98">
        <w:rPr>
          <w:noProof/>
          <w:vertAlign w:val="superscript"/>
        </w:rPr>
        <w:t>2–</w:t>
      </w:r>
      <w:r>
        <w:rPr>
          <w:noProof/>
          <w:vertAlign w:val="superscript"/>
        </w:rPr>
        <w:t>6</w:t>
      </w:r>
      <w:r>
        <w:fldChar w:fldCharType="end"/>
      </w:r>
      <w:r>
        <w:t xml:space="preserve"> </w:t>
      </w:r>
    </w:p>
    <w:p w:rsidR="000572A1" w:rsidRDefault="000572A1" w:rsidP="0096209B">
      <w:pPr>
        <w:ind w:firstLine="0"/>
      </w:pPr>
      <w:r w:rsidRPr="00A73EE6">
        <w:t>Our case, of a 3-year-old child diagnosed with primary orbital peripheral T-cell lymphoma is unique in the sense that he is the youngest case of pri</w:t>
      </w:r>
      <w:r>
        <w:t xml:space="preserve">mary PTCL-NOS of the orbit ever reported, </w:t>
      </w:r>
      <w:r w:rsidRPr="00A73EE6">
        <w:t>presentation of our pati</w:t>
      </w:r>
      <w:r>
        <w:t xml:space="preserve">ent with pseudo-ptosis was </w:t>
      </w:r>
      <w:r>
        <w:lastRenderedPageBreak/>
        <w:t>unique, and t</w:t>
      </w:r>
      <w:r w:rsidRPr="00A73EE6">
        <w:t>he consistency of</w:t>
      </w:r>
      <w:r>
        <w:t xml:space="preserve"> a hard mass clinically and </w:t>
      </w:r>
      <w:r w:rsidRPr="00A73EE6">
        <w:t>by imaging</w:t>
      </w:r>
      <w:r w:rsidRPr="00A73EE6" w:rsidDel="00567B9E">
        <w:t xml:space="preserve"> </w:t>
      </w:r>
      <w:r w:rsidRPr="00A73EE6">
        <w:t>gave an impression of a bony origin, such as Ewing sarcoma.</w:t>
      </w:r>
      <w:r w:rsidRPr="000572A1">
        <w:t xml:space="preserve"> </w:t>
      </w:r>
      <w:r>
        <w:t>The early accurate diagnosis allowed for pro</w:t>
      </w:r>
      <w:r>
        <w:t>per promising treatment with resolution of the mass</w:t>
      </w:r>
      <w:r w:rsidR="0096209B">
        <w:t xml:space="preserve"> over a 1-year period.</w:t>
      </w:r>
    </w:p>
    <w:p w:rsidR="006E4870" w:rsidRDefault="006E4870" w:rsidP="0096209B">
      <w:pPr>
        <w:ind w:firstLine="0"/>
      </w:pPr>
    </w:p>
    <w:p w:rsidR="000572A1" w:rsidRDefault="000572A1" w:rsidP="006E4870">
      <w:pPr>
        <w:ind w:firstLine="0"/>
      </w:pPr>
      <w:r>
        <w:rPr>
          <w:noProof/>
        </w:rPr>
        <w:drawing>
          <wp:inline distT="0" distB="0" distL="0" distR="0" wp14:anchorId="33AB6B14" wp14:editId="38EEA8D4">
            <wp:extent cx="4759072" cy="1317897"/>
            <wp:effectExtent l="0" t="0" r="381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a:ext>
                      </a:extLst>
                    </a:blip>
                    <a:stretch>
                      <a:fillRect/>
                    </a:stretch>
                  </pic:blipFill>
                  <pic:spPr>
                    <a:xfrm>
                      <a:off x="0" y="0"/>
                      <a:ext cx="4878964" cy="1351098"/>
                    </a:xfrm>
                    <a:prstGeom prst="rect">
                      <a:avLst/>
                    </a:prstGeom>
                  </pic:spPr>
                </pic:pic>
              </a:graphicData>
            </a:graphic>
          </wp:inline>
        </w:drawing>
      </w:r>
      <w:r w:rsidR="0096209B">
        <w:rPr>
          <w:noProof/>
        </w:rPr>
        <w:drawing>
          <wp:inline distT="0" distB="0" distL="0" distR="0">
            <wp:extent cx="1428206" cy="1332459"/>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1D.jpg"/>
                    <pic:cNvPicPr/>
                  </pic:nvPicPr>
                  <pic:blipFill>
                    <a:blip r:embed="rId12">
                      <a:extLst>
                        <a:ext uri="{28A0092B-C50C-407E-A947-70E740481C1C}">
                          <a14:useLocalDpi xmlns:a14="http://schemas.microsoft.com/office/drawing/2010/main"/>
                        </a:ext>
                      </a:extLst>
                    </a:blip>
                    <a:stretch>
                      <a:fillRect/>
                    </a:stretch>
                  </pic:blipFill>
                  <pic:spPr>
                    <a:xfrm>
                      <a:off x="0" y="0"/>
                      <a:ext cx="1463897" cy="1365758"/>
                    </a:xfrm>
                    <a:prstGeom prst="rect">
                      <a:avLst/>
                    </a:prstGeom>
                  </pic:spPr>
                </pic:pic>
              </a:graphicData>
            </a:graphic>
          </wp:inline>
        </w:drawing>
      </w:r>
    </w:p>
    <w:p w:rsidR="000572A1" w:rsidRDefault="0096209B" w:rsidP="006E4870">
      <w:pPr>
        <w:ind w:firstLine="0"/>
        <w:rPr>
          <w:b/>
          <w:bCs/>
          <w:sz w:val="28"/>
          <w:szCs w:val="28"/>
          <w:u w:val="single"/>
        </w:rPr>
      </w:pPr>
      <w:r w:rsidRPr="0096209B">
        <w:rPr>
          <w:b/>
          <w:bCs/>
          <w:sz w:val="28"/>
          <w:szCs w:val="28"/>
          <w:u w:val="single"/>
        </w:rPr>
        <w:t>C</w:t>
      </w:r>
      <w:r w:rsidRPr="0096209B">
        <w:rPr>
          <w:b/>
          <w:bCs/>
          <w:sz w:val="28"/>
          <w:szCs w:val="28"/>
          <w:u w:val="single"/>
        </w:rPr>
        <w:t>onclu</w:t>
      </w:r>
      <w:r w:rsidRPr="0096209B">
        <w:rPr>
          <w:b/>
          <w:bCs/>
          <w:sz w:val="28"/>
          <w:szCs w:val="28"/>
          <w:u w:val="single"/>
        </w:rPr>
        <w:t>sion:</w:t>
      </w:r>
    </w:p>
    <w:p w:rsidR="0096209B" w:rsidRPr="005A6F2D" w:rsidRDefault="0096209B" w:rsidP="0096209B">
      <w:pPr>
        <w:ind w:firstLine="0"/>
        <w:rPr>
          <w:bCs/>
          <w:sz w:val="28"/>
          <w:szCs w:val="28"/>
        </w:rPr>
      </w:pPr>
      <w:r>
        <w:t>W</w:t>
      </w:r>
      <w:r>
        <w:t xml:space="preserve">e strongly recommend the following: 1- A high level of suspicion of such entities regardless of the age or presentation. 2- Careful histopathological examination and proper tissue diagnosis by experienced pathologist, which is very critical in confirming the diagnosis for early intervention. </w:t>
      </w:r>
    </w:p>
    <w:p w:rsidR="0096209B" w:rsidRDefault="0096209B" w:rsidP="0096209B">
      <w:pPr>
        <w:ind w:firstLine="0"/>
        <w:rPr>
          <w:b/>
          <w:sz w:val="28"/>
          <w:szCs w:val="28"/>
          <w:u w:val="single"/>
        </w:rPr>
      </w:pPr>
    </w:p>
    <w:p w:rsidR="0096209B" w:rsidRPr="0096209B" w:rsidRDefault="0096209B" w:rsidP="0096209B">
      <w:pPr>
        <w:spacing w:line="480" w:lineRule="auto"/>
        <w:ind w:firstLine="0"/>
        <w:rPr>
          <w:b/>
          <w:bCs/>
          <w:sz w:val="28"/>
          <w:szCs w:val="28"/>
          <w:u w:val="single"/>
        </w:rPr>
      </w:pPr>
      <w:r w:rsidRPr="0096209B">
        <w:rPr>
          <w:b/>
          <w:bCs/>
          <w:sz w:val="28"/>
          <w:szCs w:val="28"/>
          <w:u w:val="single"/>
        </w:rPr>
        <w:t xml:space="preserve">References: </w:t>
      </w:r>
    </w:p>
    <w:p w:rsidR="0096209B" w:rsidRPr="0096209B" w:rsidRDefault="0096209B" w:rsidP="0096209B">
      <w:pPr>
        <w:widowControl w:val="0"/>
        <w:autoSpaceDE w:val="0"/>
        <w:autoSpaceDN w:val="0"/>
        <w:adjustRightInd w:val="0"/>
        <w:ind w:left="640" w:hanging="640"/>
        <w:rPr>
          <w:noProof/>
          <w:szCs w:val="22"/>
        </w:rPr>
      </w:pPr>
      <w:r w:rsidRPr="0096209B">
        <w:rPr>
          <w:color w:val="000000"/>
          <w:szCs w:val="22"/>
        </w:rPr>
        <w:fldChar w:fldCharType="begin" w:fldLock="1"/>
      </w:r>
      <w:r w:rsidRPr="0096209B">
        <w:rPr>
          <w:color w:val="000000"/>
          <w:szCs w:val="22"/>
        </w:rPr>
        <w:instrText xml:space="preserve">ADDIN Mendeley Bibliography CSL_BIBLIOGRAPHY </w:instrText>
      </w:r>
      <w:r w:rsidRPr="0096209B">
        <w:rPr>
          <w:color w:val="000000"/>
          <w:szCs w:val="22"/>
        </w:rPr>
        <w:fldChar w:fldCharType="separate"/>
      </w:r>
      <w:r w:rsidRPr="0096209B">
        <w:rPr>
          <w:noProof/>
          <w:szCs w:val="22"/>
        </w:rPr>
        <w:t>1.</w:t>
      </w:r>
      <w:r w:rsidRPr="0096209B">
        <w:rPr>
          <w:noProof/>
          <w:szCs w:val="22"/>
        </w:rPr>
        <w:tab/>
        <w:t>Swerdlow S</w:t>
      </w:r>
      <w:r w:rsidRPr="0096209B">
        <w:rPr>
          <w:iCs/>
          <w:noProof/>
          <w:szCs w:val="22"/>
        </w:rPr>
        <w:t>H, Campo E, Pileri SA, Harris NL, Stein H, Siebert R, Advani R, Ghielmini M, Salles GA, Zelenetz AD, Jaffe ES</w:t>
      </w:r>
      <w:r w:rsidRPr="0096209B">
        <w:rPr>
          <w:i/>
          <w:iCs/>
          <w:noProof/>
          <w:szCs w:val="22"/>
        </w:rPr>
        <w:t>.</w:t>
      </w:r>
      <w:r w:rsidRPr="0096209B">
        <w:rPr>
          <w:noProof/>
          <w:szCs w:val="22"/>
        </w:rPr>
        <w:t xml:space="preserve"> The 2016 revision of the World Health Organization classification of lymphoid neoplasms. </w:t>
      </w:r>
      <w:r w:rsidRPr="0096209B">
        <w:rPr>
          <w:i/>
          <w:iCs/>
          <w:noProof/>
          <w:szCs w:val="22"/>
        </w:rPr>
        <w:t>Blood</w:t>
      </w:r>
      <w:r w:rsidRPr="0096209B">
        <w:rPr>
          <w:noProof/>
          <w:szCs w:val="22"/>
        </w:rPr>
        <w:t xml:space="preserve"> </w:t>
      </w:r>
      <w:r w:rsidRPr="0096209B">
        <w:rPr>
          <w:b/>
          <w:bCs/>
          <w:noProof/>
          <w:szCs w:val="22"/>
        </w:rPr>
        <w:t>127,</w:t>
      </w:r>
      <w:r w:rsidRPr="0096209B">
        <w:rPr>
          <w:noProof/>
          <w:szCs w:val="22"/>
        </w:rPr>
        <w:t xml:space="preserve"> (2016).</w:t>
      </w:r>
    </w:p>
    <w:p w:rsidR="0096209B" w:rsidRPr="0096209B" w:rsidRDefault="0096209B" w:rsidP="0096209B">
      <w:pPr>
        <w:widowControl w:val="0"/>
        <w:autoSpaceDE w:val="0"/>
        <w:autoSpaceDN w:val="0"/>
        <w:adjustRightInd w:val="0"/>
        <w:ind w:left="640" w:hanging="640"/>
        <w:rPr>
          <w:noProof/>
          <w:szCs w:val="22"/>
        </w:rPr>
      </w:pPr>
      <w:r w:rsidRPr="0096209B">
        <w:rPr>
          <w:noProof/>
          <w:szCs w:val="22"/>
        </w:rPr>
        <w:t>2.</w:t>
      </w:r>
      <w:r w:rsidRPr="0096209B">
        <w:rPr>
          <w:noProof/>
          <w:szCs w:val="22"/>
        </w:rPr>
        <w:tab/>
        <w:t xml:space="preserve">Coupland SE, Foss HD, Assaf C, Auw-Haedrich C, Anastassiou G, Anagnostopoulos I, Hummel M, Karesh JW, Lee WR, Stein H. T-cell and T/natural killer-cell lymphomas involving ocular and ocular adnexal tissues: a clinicopathologic, immunohistochemical, and molecular study of seven cases. </w:t>
      </w:r>
      <w:r w:rsidRPr="0096209B">
        <w:rPr>
          <w:i/>
          <w:iCs/>
          <w:noProof/>
          <w:szCs w:val="22"/>
        </w:rPr>
        <w:t>Ophthalmology</w:t>
      </w:r>
      <w:r w:rsidRPr="0096209B">
        <w:rPr>
          <w:noProof/>
          <w:szCs w:val="22"/>
        </w:rPr>
        <w:t xml:space="preserve"> </w:t>
      </w:r>
      <w:r w:rsidRPr="0096209B">
        <w:rPr>
          <w:b/>
          <w:bCs/>
          <w:noProof/>
          <w:szCs w:val="22"/>
        </w:rPr>
        <w:t>106,</w:t>
      </w:r>
      <w:r w:rsidRPr="0096209B">
        <w:rPr>
          <w:noProof/>
          <w:szCs w:val="22"/>
        </w:rPr>
        <w:t xml:space="preserve"> 2109–20 (1999).</w:t>
      </w:r>
    </w:p>
    <w:p w:rsidR="0096209B" w:rsidRPr="0096209B" w:rsidRDefault="0096209B" w:rsidP="0096209B">
      <w:pPr>
        <w:widowControl w:val="0"/>
        <w:autoSpaceDE w:val="0"/>
        <w:autoSpaceDN w:val="0"/>
        <w:adjustRightInd w:val="0"/>
        <w:ind w:left="640" w:hanging="640"/>
        <w:rPr>
          <w:noProof/>
          <w:szCs w:val="22"/>
        </w:rPr>
      </w:pPr>
      <w:r w:rsidRPr="0096209B">
        <w:rPr>
          <w:noProof/>
          <w:szCs w:val="22"/>
        </w:rPr>
        <w:t>3.</w:t>
      </w:r>
      <w:r w:rsidRPr="0096209B">
        <w:rPr>
          <w:noProof/>
          <w:szCs w:val="22"/>
        </w:rPr>
        <w:tab/>
        <w:t xml:space="preserve">Lee DS, Woo KI, Chang HR. T-cell lymphoma presenting as painful ophthalmoplegia. </w:t>
      </w:r>
      <w:r w:rsidRPr="0096209B">
        <w:rPr>
          <w:i/>
          <w:iCs/>
          <w:noProof/>
          <w:szCs w:val="22"/>
        </w:rPr>
        <w:t>Korean J. Ophthalmol.</w:t>
      </w:r>
      <w:r w:rsidRPr="0096209B">
        <w:rPr>
          <w:noProof/>
          <w:szCs w:val="22"/>
        </w:rPr>
        <w:t xml:space="preserve"> </w:t>
      </w:r>
      <w:r w:rsidRPr="0096209B">
        <w:rPr>
          <w:b/>
          <w:bCs/>
          <w:noProof/>
          <w:szCs w:val="22"/>
        </w:rPr>
        <w:t>20,</w:t>
      </w:r>
      <w:r w:rsidRPr="0096209B">
        <w:rPr>
          <w:noProof/>
          <w:szCs w:val="22"/>
        </w:rPr>
        <w:t xml:space="preserve"> 192–4 (2006).</w:t>
      </w:r>
    </w:p>
    <w:p w:rsidR="0096209B" w:rsidRPr="0096209B" w:rsidRDefault="0096209B" w:rsidP="0096209B">
      <w:pPr>
        <w:widowControl w:val="0"/>
        <w:autoSpaceDE w:val="0"/>
        <w:autoSpaceDN w:val="0"/>
        <w:adjustRightInd w:val="0"/>
        <w:ind w:left="640" w:hanging="640"/>
        <w:rPr>
          <w:noProof/>
          <w:szCs w:val="22"/>
        </w:rPr>
      </w:pPr>
      <w:r w:rsidRPr="0096209B">
        <w:rPr>
          <w:noProof/>
          <w:szCs w:val="22"/>
        </w:rPr>
        <w:t>4.</w:t>
      </w:r>
      <w:r w:rsidRPr="0096209B">
        <w:rPr>
          <w:noProof/>
          <w:szCs w:val="22"/>
        </w:rPr>
        <w:tab/>
        <w:t xml:space="preserve">Janatpour KA, Choo PH, Lloyd WC. Primary orbital peripheral T-cell lymphoma: histologic, immunophenotypic, and genotypic features. </w:t>
      </w:r>
      <w:r w:rsidRPr="0096209B">
        <w:rPr>
          <w:i/>
          <w:iCs/>
          <w:noProof/>
          <w:szCs w:val="22"/>
        </w:rPr>
        <w:t>Arch. Ophthalmol. (Chicago, Ill.  1960)</w:t>
      </w:r>
      <w:r w:rsidRPr="0096209B">
        <w:rPr>
          <w:noProof/>
          <w:szCs w:val="22"/>
        </w:rPr>
        <w:t xml:space="preserve"> </w:t>
      </w:r>
      <w:r w:rsidRPr="0096209B">
        <w:rPr>
          <w:b/>
          <w:bCs/>
          <w:noProof/>
          <w:szCs w:val="22"/>
        </w:rPr>
        <w:t>125,</w:t>
      </w:r>
      <w:r w:rsidRPr="0096209B">
        <w:rPr>
          <w:noProof/>
          <w:szCs w:val="22"/>
        </w:rPr>
        <w:t xml:space="preserve"> 1289–92 (2007).</w:t>
      </w:r>
    </w:p>
    <w:p w:rsidR="0096209B" w:rsidRPr="0096209B" w:rsidRDefault="0096209B" w:rsidP="0096209B">
      <w:pPr>
        <w:widowControl w:val="0"/>
        <w:autoSpaceDE w:val="0"/>
        <w:autoSpaceDN w:val="0"/>
        <w:adjustRightInd w:val="0"/>
        <w:ind w:left="640" w:hanging="640"/>
        <w:rPr>
          <w:noProof/>
          <w:szCs w:val="22"/>
        </w:rPr>
      </w:pPr>
      <w:r w:rsidRPr="0096209B">
        <w:rPr>
          <w:noProof/>
          <w:szCs w:val="22"/>
        </w:rPr>
        <w:t>5.</w:t>
      </w:r>
      <w:r w:rsidRPr="0096209B">
        <w:rPr>
          <w:noProof/>
          <w:szCs w:val="22"/>
        </w:rPr>
        <w:tab/>
        <w:t xml:space="preserve">Chen YJ, Chen JT, Lu DW, Gao HW, Tai MC. Primary Peripheral T-Cell Lymphoma of the Orbit. </w:t>
      </w:r>
      <w:r w:rsidRPr="0096209B">
        <w:rPr>
          <w:i/>
          <w:iCs/>
          <w:noProof/>
          <w:szCs w:val="22"/>
        </w:rPr>
        <w:t>Arch. Ophthalmol.</w:t>
      </w:r>
      <w:r w:rsidRPr="0096209B">
        <w:rPr>
          <w:noProof/>
          <w:szCs w:val="22"/>
        </w:rPr>
        <w:t xml:space="preserve"> </w:t>
      </w:r>
      <w:r w:rsidRPr="0096209B">
        <w:rPr>
          <w:b/>
          <w:bCs/>
          <w:noProof/>
          <w:szCs w:val="22"/>
        </w:rPr>
        <w:t>127,</w:t>
      </w:r>
      <w:r w:rsidRPr="0096209B">
        <w:rPr>
          <w:noProof/>
          <w:szCs w:val="22"/>
        </w:rPr>
        <w:t xml:space="preserve"> 1070 (2009).</w:t>
      </w:r>
    </w:p>
    <w:p w:rsidR="0096209B" w:rsidRPr="0096209B" w:rsidRDefault="0096209B" w:rsidP="0096209B">
      <w:pPr>
        <w:widowControl w:val="0"/>
        <w:autoSpaceDE w:val="0"/>
        <w:autoSpaceDN w:val="0"/>
        <w:adjustRightInd w:val="0"/>
        <w:ind w:left="640" w:hanging="640"/>
        <w:rPr>
          <w:noProof/>
          <w:szCs w:val="22"/>
        </w:rPr>
      </w:pPr>
      <w:r w:rsidRPr="0096209B">
        <w:rPr>
          <w:noProof/>
          <w:szCs w:val="22"/>
        </w:rPr>
        <w:t>6.</w:t>
      </w:r>
      <w:r w:rsidRPr="0096209B">
        <w:rPr>
          <w:noProof/>
          <w:szCs w:val="22"/>
        </w:rPr>
        <w:tab/>
        <w:t xml:space="preserve">Amit S, Purwar N, Agarwal A, Kanchan S. Primary orbital non-Hodgkin’s lymphoma. </w:t>
      </w:r>
      <w:r w:rsidRPr="0096209B">
        <w:rPr>
          <w:i/>
          <w:iCs/>
          <w:noProof/>
          <w:szCs w:val="22"/>
        </w:rPr>
        <w:t>BMJ Case Rep.</w:t>
      </w:r>
      <w:r w:rsidRPr="0096209B">
        <w:rPr>
          <w:b/>
          <w:bCs/>
          <w:noProof/>
          <w:szCs w:val="22"/>
        </w:rPr>
        <w:t xml:space="preserve"> </w:t>
      </w:r>
      <w:r w:rsidRPr="0096209B">
        <w:rPr>
          <w:noProof/>
          <w:szCs w:val="22"/>
        </w:rPr>
        <w:t>bcr2012006847- (2012).</w:t>
      </w:r>
    </w:p>
    <w:p w:rsidR="0096209B" w:rsidRPr="0096209B" w:rsidRDefault="0096209B" w:rsidP="0096209B">
      <w:pPr>
        <w:widowControl w:val="0"/>
        <w:autoSpaceDE w:val="0"/>
        <w:autoSpaceDN w:val="0"/>
        <w:adjustRightInd w:val="0"/>
        <w:ind w:left="640" w:hanging="640"/>
        <w:rPr>
          <w:noProof/>
          <w:szCs w:val="22"/>
        </w:rPr>
      </w:pPr>
      <w:r w:rsidRPr="0096209B">
        <w:rPr>
          <w:noProof/>
          <w:szCs w:val="22"/>
        </w:rPr>
        <w:t xml:space="preserve">7.       Gagnier JJ, Kienle G, Altman DG, Moher D, Sox H, Riley D, the CARE Group. The CARE guidelines: consensus-based clinical case reporting guidline development. BMJ Case Reports doi:10.1136/bcr-2013-201554 (2013). </w:t>
      </w:r>
    </w:p>
    <w:p w:rsidR="0096209B" w:rsidRPr="0096209B" w:rsidRDefault="0096209B" w:rsidP="0096209B">
      <w:pPr>
        <w:widowControl w:val="0"/>
        <w:autoSpaceDE w:val="0"/>
        <w:autoSpaceDN w:val="0"/>
        <w:adjustRightInd w:val="0"/>
        <w:ind w:left="640" w:hanging="640"/>
        <w:rPr>
          <w:noProof/>
          <w:szCs w:val="22"/>
        </w:rPr>
      </w:pPr>
      <w:r w:rsidRPr="0096209B">
        <w:rPr>
          <w:noProof/>
          <w:szCs w:val="22"/>
        </w:rPr>
        <w:t>8.</w:t>
      </w:r>
      <w:r w:rsidRPr="0096209B">
        <w:rPr>
          <w:noProof/>
          <w:szCs w:val="22"/>
        </w:rPr>
        <w:tab/>
        <w:t xml:space="preserve">Shields J A, Shields CL, Scartozzi R. Survey of 1264 patients with orbital tumors and simulating lesions: The 2002 Montgomery Lecture, part 1. </w:t>
      </w:r>
      <w:r w:rsidRPr="0096209B">
        <w:rPr>
          <w:i/>
          <w:iCs/>
          <w:noProof/>
          <w:szCs w:val="22"/>
        </w:rPr>
        <w:t>Ophthalmology</w:t>
      </w:r>
      <w:r w:rsidRPr="0096209B">
        <w:rPr>
          <w:noProof/>
          <w:szCs w:val="22"/>
        </w:rPr>
        <w:t xml:space="preserve"> </w:t>
      </w:r>
      <w:r w:rsidRPr="0096209B">
        <w:rPr>
          <w:b/>
          <w:bCs/>
          <w:noProof/>
          <w:szCs w:val="22"/>
        </w:rPr>
        <w:t>111,</w:t>
      </w:r>
      <w:r w:rsidRPr="0096209B">
        <w:rPr>
          <w:noProof/>
          <w:szCs w:val="22"/>
        </w:rPr>
        <w:t xml:space="preserve"> 997–1008 (2004).</w:t>
      </w:r>
    </w:p>
    <w:p w:rsidR="0096209B" w:rsidRPr="0096209B" w:rsidRDefault="0096209B" w:rsidP="0096209B">
      <w:pPr>
        <w:widowControl w:val="0"/>
        <w:autoSpaceDE w:val="0"/>
        <w:autoSpaceDN w:val="0"/>
        <w:adjustRightInd w:val="0"/>
        <w:ind w:left="640" w:hanging="640"/>
        <w:rPr>
          <w:noProof/>
          <w:szCs w:val="22"/>
        </w:rPr>
      </w:pPr>
      <w:r w:rsidRPr="0096209B">
        <w:rPr>
          <w:noProof/>
          <w:szCs w:val="22"/>
        </w:rPr>
        <w:t>9.</w:t>
      </w:r>
      <w:r w:rsidRPr="0096209B">
        <w:rPr>
          <w:noProof/>
          <w:szCs w:val="22"/>
        </w:rPr>
        <w:tab/>
        <w:t xml:space="preserve">Freeman C, Berg JW, Cutler S.J. Occurrence and prognosis of extranodal lymphomas. </w:t>
      </w:r>
      <w:r w:rsidRPr="0096209B">
        <w:rPr>
          <w:i/>
          <w:iCs/>
          <w:noProof/>
          <w:szCs w:val="22"/>
        </w:rPr>
        <w:t>Cancer</w:t>
      </w:r>
      <w:r w:rsidRPr="0096209B">
        <w:rPr>
          <w:noProof/>
          <w:szCs w:val="22"/>
        </w:rPr>
        <w:t xml:space="preserve"> </w:t>
      </w:r>
      <w:r w:rsidRPr="0096209B">
        <w:rPr>
          <w:b/>
          <w:bCs/>
          <w:noProof/>
          <w:szCs w:val="22"/>
        </w:rPr>
        <w:t>29,</w:t>
      </w:r>
      <w:r w:rsidRPr="0096209B">
        <w:rPr>
          <w:noProof/>
          <w:szCs w:val="22"/>
        </w:rPr>
        <w:t xml:space="preserve"> 252–260 (1972).</w:t>
      </w:r>
    </w:p>
    <w:p w:rsidR="0096209B" w:rsidRPr="0096209B" w:rsidRDefault="0096209B" w:rsidP="0096209B">
      <w:pPr>
        <w:widowControl w:val="0"/>
        <w:autoSpaceDE w:val="0"/>
        <w:autoSpaceDN w:val="0"/>
        <w:adjustRightInd w:val="0"/>
        <w:ind w:left="640" w:hanging="640"/>
        <w:rPr>
          <w:noProof/>
          <w:szCs w:val="22"/>
        </w:rPr>
      </w:pPr>
      <w:r w:rsidRPr="0096209B">
        <w:rPr>
          <w:noProof/>
          <w:szCs w:val="22"/>
        </w:rPr>
        <w:t>10.</w:t>
      </w:r>
      <w:r w:rsidRPr="0096209B">
        <w:rPr>
          <w:noProof/>
          <w:szCs w:val="22"/>
        </w:rPr>
        <w:tab/>
        <w:t xml:space="preserve">Coupland S E, Krause L, Delecluse HJ, Anagnostopoulos I, Foss HD, Hummel M, Bornfeld N, Lee WR, Stein H. Lymphoproliferative lesions of the ocular adnexa: Analysis of 112 cases. </w:t>
      </w:r>
      <w:r w:rsidRPr="0096209B">
        <w:rPr>
          <w:i/>
          <w:iCs/>
          <w:noProof/>
          <w:szCs w:val="22"/>
        </w:rPr>
        <w:t>Ophthalmology</w:t>
      </w:r>
      <w:r w:rsidRPr="0096209B">
        <w:rPr>
          <w:noProof/>
          <w:szCs w:val="22"/>
        </w:rPr>
        <w:t xml:space="preserve"> </w:t>
      </w:r>
      <w:r w:rsidRPr="0096209B">
        <w:rPr>
          <w:b/>
          <w:bCs/>
          <w:noProof/>
          <w:szCs w:val="22"/>
        </w:rPr>
        <w:t>105,</w:t>
      </w:r>
      <w:r w:rsidRPr="0096209B">
        <w:rPr>
          <w:noProof/>
          <w:szCs w:val="22"/>
        </w:rPr>
        <w:t xml:space="preserve"> 1430–1441 (1998).</w:t>
      </w:r>
    </w:p>
    <w:p w:rsidR="0096209B" w:rsidRPr="0096209B" w:rsidRDefault="0096209B" w:rsidP="0096209B">
      <w:pPr>
        <w:ind w:firstLine="0"/>
        <w:rPr>
          <w:szCs w:val="22"/>
        </w:rPr>
      </w:pPr>
      <w:r w:rsidRPr="0096209B">
        <w:rPr>
          <w:noProof/>
          <w:szCs w:val="22"/>
        </w:rPr>
        <w:t>11</w:t>
      </w:r>
      <w:r w:rsidRPr="0096209B">
        <w:rPr>
          <w:noProof/>
          <w:szCs w:val="22"/>
        </w:rPr>
        <w:t xml:space="preserve">.    </w:t>
      </w:r>
      <w:r w:rsidRPr="0096209B">
        <w:rPr>
          <w:noProof/>
          <w:szCs w:val="22"/>
        </w:rPr>
        <w:t xml:space="preserve">Weisenburger D D, Savage KJ, Harris NL, Gascoyne RD, Jaffe ES, MacLennan KA,  Rudiger T, Pileri S, Nakamura S, Nathwani B, Campo E, Berger F, Coiffier B, Kim W-S, Holte H, Federico M, Au WY, Tobinai K, Armitage JO, Vose JM; International Peripheral T-cell Lymphoma Project. Peripheral T-cell lymphoma, not otherwise specified: a report of 340 cases from the International Peripheral T-cell Lymphoma Project. </w:t>
      </w:r>
      <w:r w:rsidRPr="0096209B">
        <w:rPr>
          <w:i/>
          <w:iCs/>
          <w:noProof/>
          <w:szCs w:val="22"/>
        </w:rPr>
        <w:t>Blood</w:t>
      </w:r>
      <w:r w:rsidRPr="0096209B">
        <w:rPr>
          <w:noProof/>
          <w:szCs w:val="22"/>
        </w:rPr>
        <w:t xml:space="preserve"> </w:t>
      </w:r>
      <w:r w:rsidRPr="0096209B">
        <w:rPr>
          <w:b/>
          <w:bCs/>
          <w:noProof/>
          <w:szCs w:val="22"/>
        </w:rPr>
        <w:t>117(12),</w:t>
      </w:r>
      <w:r w:rsidRPr="0096209B">
        <w:rPr>
          <w:noProof/>
          <w:szCs w:val="22"/>
        </w:rPr>
        <w:t xml:space="preserve"> 3402–8 (2011).</w:t>
      </w:r>
      <w:r w:rsidRPr="0096209B">
        <w:rPr>
          <w:color w:val="000000"/>
          <w:szCs w:val="22"/>
          <w:shd w:val="clear" w:color="auto" w:fill="FFFFFF"/>
        </w:rPr>
        <w:t xml:space="preserve"> </w:t>
      </w:r>
      <w:proofErr w:type="spellStart"/>
      <w:r w:rsidRPr="0096209B">
        <w:rPr>
          <w:color w:val="000000"/>
          <w:szCs w:val="22"/>
          <w:shd w:val="clear" w:color="auto" w:fill="FFFFFF"/>
        </w:rPr>
        <w:t>doi</w:t>
      </w:r>
      <w:proofErr w:type="spellEnd"/>
      <w:r w:rsidRPr="0096209B">
        <w:rPr>
          <w:color w:val="000000"/>
          <w:szCs w:val="22"/>
          <w:shd w:val="clear" w:color="auto" w:fill="FFFFFF"/>
        </w:rPr>
        <w:t>: 10.1182/blood-2010-09-310342.</w:t>
      </w:r>
    </w:p>
    <w:p w:rsidR="0096209B" w:rsidRPr="0096209B" w:rsidRDefault="0096209B" w:rsidP="0096209B">
      <w:pPr>
        <w:ind w:firstLine="0"/>
        <w:rPr>
          <w:szCs w:val="22"/>
        </w:rPr>
      </w:pPr>
      <w:r w:rsidRPr="0096209B">
        <w:rPr>
          <w:noProof/>
          <w:szCs w:val="22"/>
        </w:rPr>
        <w:t>12</w:t>
      </w:r>
      <w:r w:rsidRPr="0096209B">
        <w:rPr>
          <w:noProof/>
          <w:szCs w:val="22"/>
        </w:rPr>
        <w:t xml:space="preserve">.    </w:t>
      </w:r>
      <w:r w:rsidRPr="0096209B">
        <w:rPr>
          <w:noProof/>
          <w:szCs w:val="22"/>
        </w:rPr>
        <w:t xml:space="preserve">Savage KJ, Harris NL, Vose JM, Ulrich F, Jaffe ES, Connor JM, Rimsza L, Pileri SA, Chhanabhai M, Gascoyne RD, Armitage JO, Weisenburger DD; International Peripheral T-cell Lymphoma Project. ALK− anaplastic large-cell lymphoma is clinically and immunophenotypically different from both ALK+ ALCL and peripheral T-cell lymphoma, not otherwise specified: report from the International Peripheral T-Cell Lymphoma Project. </w:t>
      </w:r>
      <w:r w:rsidRPr="0096209B">
        <w:rPr>
          <w:i/>
          <w:iCs/>
          <w:noProof/>
          <w:szCs w:val="22"/>
        </w:rPr>
        <w:t>Blood</w:t>
      </w:r>
      <w:r w:rsidRPr="0096209B">
        <w:rPr>
          <w:noProof/>
          <w:szCs w:val="22"/>
        </w:rPr>
        <w:t xml:space="preserve"> </w:t>
      </w:r>
      <w:r w:rsidRPr="0096209B">
        <w:rPr>
          <w:b/>
          <w:bCs/>
          <w:noProof/>
          <w:szCs w:val="22"/>
        </w:rPr>
        <w:t>111,</w:t>
      </w:r>
      <w:r w:rsidRPr="0096209B">
        <w:rPr>
          <w:noProof/>
          <w:szCs w:val="22"/>
        </w:rPr>
        <w:t xml:space="preserve"> (2008).</w:t>
      </w:r>
      <w:r w:rsidRPr="0096209B">
        <w:rPr>
          <w:rStyle w:val="apple-converted-space"/>
          <w:rFonts w:ascii="Arial" w:hAnsi="Arial" w:cs="Arial"/>
          <w:color w:val="000000"/>
          <w:szCs w:val="22"/>
          <w:shd w:val="clear" w:color="auto" w:fill="FFFFFF"/>
        </w:rPr>
        <w:t xml:space="preserve">  </w:t>
      </w:r>
      <w:proofErr w:type="spellStart"/>
      <w:r w:rsidRPr="0096209B">
        <w:rPr>
          <w:color w:val="000000"/>
          <w:szCs w:val="22"/>
          <w:shd w:val="clear" w:color="auto" w:fill="FFFFFF"/>
        </w:rPr>
        <w:t>doi</w:t>
      </w:r>
      <w:proofErr w:type="spellEnd"/>
      <w:r w:rsidRPr="0096209B">
        <w:rPr>
          <w:color w:val="000000"/>
          <w:szCs w:val="22"/>
          <w:shd w:val="clear" w:color="auto" w:fill="FFFFFF"/>
        </w:rPr>
        <w:t>: 10.1182/blood-</w:t>
      </w:r>
      <w:r w:rsidRPr="0096209B">
        <w:rPr>
          <w:rStyle w:val="highlight"/>
          <w:color w:val="000000"/>
          <w:szCs w:val="22"/>
        </w:rPr>
        <w:t>2008</w:t>
      </w:r>
      <w:r w:rsidRPr="0096209B">
        <w:rPr>
          <w:color w:val="000000"/>
          <w:szCs w:val="22"/>
          <w:shd w:val="clear" w:color="auto" w:fill="FFFFFF"/>
        </w:rPr>
        <w:t>-01-134270</w:t>
      </w:r>
    </w:p>
    <w:p w:rsidR="0096209B" w:rsidRPr="0096209B" w:rsidRDefault="0096209B" w:rsidP="0096209B">
      <w:pPr>
        <w:ind w:firstLine="0"/>
        <w:rPr>
          <w:noProof/>
          <w:szCs w:val="22"/>
        </w:rPr>
      </w:pPr>
      <w:r w:rsidRPr="0096209B">
        <w:rPr>
          <w:noProof/>
          <w:szCs w:val="22"/>
        </w:rPr>
        <w:t>13</w:t>
      </w:r>
      <w:r w:rsidRPr="0096209B">
        <w:rPr>
          <w:noProof/>
          <w:szCs w:val="22"/>
        </w:rPr>
        <w:t xml:space="preserve">.    </w:t>
      </w:r>
      <w:r w:rsidRPr="0096209B">
        <w:rPr>
          <w:noProof/>
          <w:szCs w:val="22"/>
        </w:rPr>
        <w:t xml:space="preserve">d’Amore F, Gaulard P, Trumper L, Corradini P, Kim WS, Specht L, Bjerregaard Pedersen M, Ladetto M; ESMO Guidelines Committee. Peripheral T-cell lymphomas: ESMO Clinical Practice Guidelines for diagnosis, treatment and follow-up. </w:t>
      </w:r>
      <w:r w:rsidRPr="0096209B">
        <w:rPr>
          <w:i/>
          <w:iCs/>
          <w:noProof/>
          <w:szCs w:val="22"/>
        </w:rPr>
        <w:t>Ann. Oncol.</w:t>
      </w:r>
      <w:r w:rsidRPr="0096209B">
        <w:rPr>
          <w:noProof/>
          <w:szCs w:val="22"/>
        </w:rPr>
        <w:t xml:space="preserve"> </w:t>
      </w:r>
      <w:r w:rsidRPr="0096209B">
        <w:rPr>
          <w:b/>
          <w:bCs/>
          <w:noProof/>
          <w:szCs w:val="22"/>
        </w:rPr>
        <w:t>26,</w:t>
      </w:r>
      <w:r w:rsidRPr="0096209B">
        <w:rPr>
          <w:noProof/>
          <w:szCs w:val="22"/>
        </w:rPr>
        <w:t xml:space="preserve"> Suppl 5: v108–v115 (2015). </w:t>
      </w:r>
      <w:proofErr w:type="spellStart"/>
      <w:r w:rsidRPr="0096209B">
        <w:rPr>
          <w:color w:val="000000"/>
          <w:szCs w:val="22"/>
          <w:shd w:val="clear" w:color="auto" w:fill="FFFFFF"/>
        </w:rPr>
        <w:t>doi</w:t>
      </w:r>
      <w:proofErr w:type="spellEnd"/>
      <w:r w:rsidRPr="0096209B">
        <w:rPr>
          <w:color w:val="000000"/>
          <w:szCs w:val="22"/>
          <w:shd w:val="clear" w:color="auto" w:fill="FFFFFF"/>
        </w:rPr>
        <w:t>: 10.1093/</w:t>
      </w:r>
      <w:proofErr w:type="spellStart"/>
      <w:r w:rsidRPr="0096209B">
        <w:rPr>
          <w:color w:val="000000"/>
          <w:szCs w:val="22"/>
          <w:shd w:val="clear" w:color="auto" w:fill="FFFFFF"/>
        </w:rPr>
        <w:t>annonc</w:t>
      </w:r>
      <w:proofErr w:type="spellEnd"/>
      <w:r w:rsidRPr="0096209B">
        <w:rPr>
          <w:color w:val="000000"/>
          <w:szCs w:val="22"/>
          <w:shd w:val="clear" w:color="auto" w:fill="FFFFFF"/>
        </w:rPr>
        <w:t>/mdv201</w:t>
      </w:r>
      <w:r w:rsidRPr="0096209B">
        <w:rPr>
          <w:noProof/>
          <w:szCs w:val="22"/>
        </w:rPr>
        <w:tab/>
      </w:r>
      <w:r w:rsidRPr="0096209B">
        <w:rPr>
          <w:noProof/>
          <w:szCs w:val="22"/>
        </w:rPr>
        <w:tab/>
      </w:r>
    </w:p>
    <w:p w:rsidR="0096209B" w:rsidRPr="0096209B" w:rsidRDefault="0096209B" w:rsidP="0096209B">
      <w:pPr>
        <w:ind w:firstLine="0"/>
        <w:rPr>
          <w:szCs w:val="22"/>
        </w:rPr>
      </w:pPr>
      <w:r w:rsidRPr="0096209B">
        <w:rPr>
          <w:noProof/>
          <w:szCs w:val="22"/>
        </w:rPr>
        <w:lastRenderedPageBreak/>
        <w:t xml:space="preserve">14.      Agostinelli C, Piccaluga PP, Went P, Rossi M, Gazolla A, Righi S, Sista T, Campidelli       C, Zinzani PL, </w:t>
      </w:r>
      <w:r w:rsidRPr="0096209B">
        <w:rPr>
          <w:noProof/>
          <w:szCs w:val="22"/>
        </w:rPr>
        <w:t xml:space="preserve">Falini B, Pileri SA. </w:t>
      </w:r>
      <w:proofErr w:type="gramStart"/>
      <w:r w:rsidRPr="0096209B">
        <w:rPr>
          <w:szCs w:val="22"/>
        </w:rPr>
        <w:t>Peripheral T-</w:t>
      </w:r>
      <w:r w:rsidRPr="0096209B">
        <w:rPr>
          <w:szCs w:val="22"/>
        </w:rPr>
        <w:t>cell lymphoma,</w:t>
      </w:r>
      <w:proofErr w:type="gramEnd"/>
      <w:r w:rsidRPr="0096209B">
        <w:rPr>
          <w:szCs w:val="22"/>
        </w:rPr>
        <w:t xml:space="preserve"> not otherwise specified: the stuff of genes, dreams and therapies. J </w:t>
      </w:r>
      <w:proofErr w:type="spellStart"/>
      <w:r w:rsidRPr="0096209B">
        <w:rPr>
          <w:szCs w:val="22"/>
        </w:rPr>
        <w:t>Clin</w:t>
      </w:r>
      <w:proofErr w:type="spellEnd"/>
      <w:r w:rsidRPr="0096209B">
        <w:rPr>
          <w:szCs w:val="22"/>
        </w:rPr>
        <w:t xml:space="preserve"> </w:t>
      </w:r>
      <w:proofErr w:type="spellStart"/>
      <w:r w:rsidRPr="0096209B">
        <w:rPr>
          <w:szCs w:val="22"/>
        </w:rPr>
        <w:t>Pathol</w:t>
      </w:r>
      <w:proofErr w:type="spellEnd"/>
      <w:r w:rsidRPr="0096209B">
        <w:rPr>
          <w:szCs w:val="22"/>
        </w:rPr>
        <w:t xml:space="preserve"> 2008; 61:1160</w:t>
      </w:r>
      <w:r w:rsidRPr="0096209B">
        <w:rPr>
          <w:rFonts w:hint="eastAsia"/>
          <w:szCs w:val="22"/>
        </w:rPr>
        <w:t>–</w:t>
      </w:r>
      <w:r w:rsidRPr="0096209B">
        <w:rPr>
          <w:szCs w:val="22"/>
        </w:rPr>
        <w:t xml:space="preserve">1167. doi:10.1136/jcp.2008.055335 </w:t>
      </w:r>
    </w:p>
    <w:p w:rsidR="0096209B" w:rsidRPr="0096209B" w:rsidRDefault="0096209B" w:rsidP="0096209B">
      <w:pPr>
        <w:pStyle w:val="NormalWeb"/>
        <w:rPr>
          <w:sz w:val="22"/>
          <w:szCs w:val="22"/>
        </w:rPr>
      </w:pPr>
      <w:r w:rsidRPr="0096209B">
        <w:rPr>
          <w:sz w:val="22"/>
          <w:szCs w:val="22"/>
        </w:rPr>
        <w:t xml:space="preserve">  </w:t>
      </w:r>
    </w:p>
    <w:p w:rsidR="0096209B" w:rsidRPr="0096209B" w:rsidRDefault="0096209B" w:rsidP="0096209B">
      <w:pPr>
        <w:widowControl w:val="0"/>
        <w:autoSpaceDE w:val="0"/>
        <w:autoSpaceDN w:val="0"/>
        <w:adjustRightInd w:val="0"/>
        <w:ind w:left="640" w:hanging="640"/>
        <w:rPr>
          <w:noProof/>
          <w:szCs w:val="22"/>
        </w:rPr>
      </w:pPr>
    </w:p>
    <w:p w:rsidR="0096209B" w:rsidRPr="0096209B" w:rsidRDefault="0096209B" w:rsidP="0096209B">
      <w:pPr>
        <w:rPr>
          <w:color w:val="000000"/>
          <w:sz w:val="20"/>
          <w:szCs w:val="20"/>
        </w:rPr>
      </w:pPr>
      <w:r w:rsidRPr="0096209B">
        <w:rPr>
          <w:color w:val="000000"/>
          <w:szCs w:val="22"/>
        </w:rPr>
        <w:fldChar w:fldCharType="end"/>
      </w:r>
    </w:p>
    <w:sectPr w:rsidR="0096209B" w:rsidRPr="0096209B" w:rsidSect="0096209B">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0C67"/>
    <w:rsid w:val="000572A1"/>
    <w:rsid w:val="000F596F"/>
    <w:rsid w:val="006E4870"/>
    <w:rsid w:val="006F065B"/>
    <w:rsid w:val="00785550"/>
    <w:rsid w:val="007B1846"/>
    <w:rsid w:val="0096209B"/>
    <w:rsid w:val="00975596"/>
    <w:rsid w:val="00A463D8"/>
    <w:rsid w:val="00B60C67"/>
    <w:rsid w:val="00BD2DD3"/>
    <w:rsid w:val="00EA6B98"/>
    <w:rsid w:val="00EC74E7"/>
    <w:rsid w:val="00F445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D80C7C"/>
  <w14:defaultImageDpi w14:val="32767"/>
  <w15:chartTrackingRefBased/>
  <w15:docId w15:val="{F5513908-DE39-0A45-A72A-98C72D29D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60C67"/>
    <w:pPr>
      <w:ind w:firstLine="360"/>
    </w:pPr>
    <w:rPr>
      <w:rFonts w:ascii="Times New Roman" w:eastAsia="Times New Roman" w:hAnsi="Times New Roman"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60C67"/>
    <w:pPr>
      <w:tabs>
        <w:tab w:val="center" w:pos="4320"/>
        <w:tab w:val="right" w:pos="8640"/>
      </w:tabs>
    </w:pPr>
  </w:style>
  <w:style w:type="character" w:customStyle="1" w:styleId="HeaderChar">
    <w:name w:val="Header Char"/>
    <w:basedOn w:val="DefaultParagraphFont"/>
    <w:link w:val="Header"/>
    <w:uiPriority w:val="99"/>
    <w:semiHidden/>
    <w:rsid w:val="00B60C67"/>
    <w:rPr>
      <w:rFonts w:ascii="Times New Roman" w:eastAsia="Times New Roman" w:hAnsi="Times New Roman" w:cs="Times New Roman"/>
      <w:sz w:val="22"/>
    </w:rPr>
  </w:style>
  <w:style w:type="paragraph" w:styleId="Title">
    <w:name w:val="Title"/>
    <w:basedOn w:val="Normal"/>
    <w:link w:val="TitleChar"/>
    <w:qFormat/>
    <w:rsid w:val="00B60C67"/>
    <w:pPr>
      <w:jc w:val="center"/>
    </w:pPr>
    <w:rPr>
      <w:b/>
    </w:rPr>
  </w:style>
  <w:style w:type="character" w:customStyle="1" w:styleId="TitleChar">
    <w:name w:val="Title Char"/>
    <w:basedOn w:val="DefaultParagraphFont"/>
    <w:link w:val="Title"/>
    <w:rsid w:val="00B60C67"/>
    <w:rPr>
      <w:rFonts w:ascii="Times New Roman" w:eastAsia="Times New Roman" w:hAnsi="Times New Roman" w:cs="Times New Roman"/>
      <w:b/>
      <w:sz w:val="22"/>
    </w:rPr>
  </w:style>
  <w:style w:type="character" w:styleId="Hyperlink">
    <w:name w:val="Hyperlink"/>
    <w:uiPriority w:val="99"/>
    <w:unhideWhenUsed/>
    <w:rsid w:val="00B60C67"/>
    <w:rPr>
      <w:color w:val="0000FF"/>
      <w:u w:val="single"/>
    </w:rPr>
  </w:style>
  <w:style w:type="character" w:customStyle="1" w:styleId="apple-converted-space">
    <w:name w:val="apple-converted-space"/>
    <w:basedOn w:val="DefaultParagraphFont"/>
    <w:rsid w:val="0096209B"/>
  </w:style>
  <w:style w:type="paragraph" w:styleId="NormalWeb">
    <w:name w:val="Normal (Web)"/>
    <w:basedOn w:val="Normal"/>
    <w:uiPriority w:val="99"/>
    <w:semiHidden/>
    <w:unhideWhenUsed/>
    <w:rsid w:val="0096209B"/>
    <w:pPr>
      <w:spacing w:before="100" w:beforeAutospacing="1" w:after="100" w:afterAutospacing="1"/>
      <w:ind w:firstLine="0"/>
    </w:pPr>
    <w:rPr>
      <w:rFonts w:eastAsiaTheme="minorHAnsi"/>
      <w:sz w:val="24"/>
    </w:rPr>
  </w:style>
  <w:style w:type="character" w:customStyle="1" w:styleId="highlight">
    <w:name w:val="highlight"/>
    <w:basedOn w:val="DefaultParagraphFont"/>
    <w:rsid w:val="009620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2822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mailto:hkatan@ksu.edu.sa" TargetMode="External"/><Relationship Id="rId10" Type="http://schemas.openxmlformats.org/officeDocument/2006/relationships/image" Target="media/image5.png"/><Relationship Id="rId4" Type="http://schemas.openxmlformats.org/officeDocument/2006/relationships/hyperlink" Target="mailto:hindkatan@yahoo.com" TargetMode="External"/><Relationship Id="rId9" Type="http://schemas.openxmlformats.org/officeDocument/2006/relationships/image" Target="media/image4.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10267</Words>
  <Characters>58522</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hindkatan@yahoo.com</dc:creator>
  <cp:keywords/>
  <dc:description/>
  <cp:lastModifiedBy>hindkatan@yahoo.com</cp:lastModifiedBy>
  <cp:revision>2</cp:revision>
  <dcterms:created xsi:type="dcterms:W3CDTF">2018-09-06T09:26:00Z</dcterms:created>
  <dcterms:modified xsi:type="dcterms:W3CDTF">2018-09-06T09:26:00Z</dcterms:modified>
</cp:coreProperties>
</file>